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CCB9E" w14:textId="77777777" w:rsidR="00F41463" w:rsidRDefault="00000000">
      <w:pPr>
        <w:pStyle w:val="Heading1"/>
        <w:spacing w:before="0" w:line="240" w:lineRule="auto"/>
        <w:jc w:val="center"/>
        <w:rPr>
          <w:rFonts w:ascii="Arial" w:eastAsia="Arial" w:hAnsi="Arial" w:cs="Arial"/>
          <w:sz w:val="28"/>
        </w:rPr>
      </w:pPr>
      <w:r>
        <w:rPr>
          <w:rFonts w:ascii="Arial" w:eastAsia="Arial" w:hAnsi="Arial" w:cs="Arial"/>
          <w:sz w:val="28"/>
        </w:rPr>
        <w:t>Dari Ikatan Leluhur ke Kemanusiaan Universal: Humanisme Profetik dan Dimensi Transendental Persaudaraan Lintas Iman di Maluku</w:t>
      </w:r>
    </w:p>
    <w:p w14:paraId="2C6C5D51" w14:textId="77777777" w:rsidR="00F41463" w:rsidRDefault="00F41463">
      <w:pPr>
        <w:rPr>
          <w:sz w:val="22"/>
          <w:szCs w:val="22"/>
        </w:rPr>
      </w:pPr>
    </w:p>
    <w:p w14:paraId="5444BC00" w14:textId="77777777" w:rsidR="00F41463" w:rsidRDefault="00000000">
      <w:pPr>
        <w:jc w:val="center"/>
        <w:rPr>
          <w:b/>
          <w:sz w:val="22"/>
          <w:szCs w:val="22"/>
        </w:rPr>
      </w:pPr>
      <w:r>
        <w:rPr>
          <w:b/>
          <w:sz w:val="22"/>
          <w:szCs w:val="22"/>
        </w:rPr>
        <w:t>Baco Sarluf</w:t>
      </w:r>
      <w:r>
        <w:rPr>
          <w:b/>
          <w:sz w:val="22"/>
          <w:szCs w:val="22"/>
          <w:vertAlign w:val="superscript"/>
        </w:rPr>
        <w:t>1</w:t>
      </w:r>
      <w:r>
        <w:rPr>
          <w:b/>
          <w:sz w:val="22"/>
          <w:szCs w:val="22"/>
        </w:rPr>
        <w:t>, Irham M.J latuamury</w:t>
      </w:r>
      <w:r>
        <w:rPr>
          <w:b/>
          <w:sz w:val="22"/>
          <w:szCs w:val="22"/>
          <w:vertAlign w:val="superscript"/>
        </w:rPr>
        <w:t>2</w:t>
      </w:r>
      <w:r>
        <w:rPr>
          <w:b/>
          <w:sz w:val="22"/>
          <w:szCs w:val="22"/>
        </w:rPr>
        <w:t>, Abdul Manaf Tubaka</w:t>
      </w:r>
      <w:r>
        <w:rPr>
          <w:b/>
          <w:sz w:val="22"/>
          <w:szCs w:val="22"/>
          <w:vertAlign w:val="superscript"/>
        </w:rPr>
        <w:t>3</w:t>
      </w:r>
      <w:r>
        <w:rPr>
          <w:b/>
          <w:sz w:val="22"/>
          <w:szCs w:val="22"/>
        </w:rPr>
        <w:t>,Suryadi Rumakamar</w:t>
      </w:r>
      <w:r>
        <w:rPr>
          <w:b/>
          <w:sz w:val="22"/>
          <w:szCs w:val="22"/>
          <w:vertAlign w:val="superscript"/>
        </w:rPr>
        <w:t>4</w:t>
      </w:r>
    </w:p>
    <w:p w14:paraId="6BED2217" w14:textId="77777777" w:rsidR="00F41463" w:rsidRDefault="00000000">
      <w:pPr>
        <w:jc w:val="center"/>
        <w:rPr>
          <w:sz w:val="22"/>
          <w:szCs w:val="22"/>
          <w:vertAlign w:val="superscript"/>
        </w:rPr>
      </w:pPr>
      <w:r>
        <w:rPr>
          <w:sz w:val="22"/>
          <w:szCs w:val="22"/>
        </w:rPr>
        <w:t>Program Studi Aqidah dan Filsafat Islam, Institut Agama Islam Negeri Ambon</w:t>
      </w:r>
      <w:r>
        <w:rPr>
          <w:sz w:val="22"/>
          <w:szCs w:val="22"/>
          <w:vertAlign w:val="superscript"/>
        </w:rPr>
        <w:t>1,2,3,4</w:t>
      </w:r>
    </w:p>
    <w:p w14:paraId="0341C13F" w14:textId="77777777" w:rsidR="00F41463" w:rsidRDefault="00000000">
      <w:pPr>
        <w:tabs>
          <w:tab w:val="left" w:pos="6030"/>
        </w:tabs>
        <w:jc w:val="center"/>
        <w:rPr>
          <w:sz w:val="22"/>
          <w:szCs w:val="22"/>
        </w:rPr>
      </w:pPr>
      <w:r>
        <w:rPr>
          <w:sz w:val="22"/>
          <w:szCs w:val="22"/>
        </w:rPr>
        <w:t xml:space="preserve">*Email Korespondensi: </w:t>
      </w:r>
      <w:hyperlink r:id="rId8" w:history="1">
        <w:r>
          <w:rPr>
            <w:rStyle w:val="Hyperlink"/>
            <w:sz w:val="22"/>
            <w:szCs w:val="22"/>
          </w:rPr>
          <w:t>bacosarluf12@gmail.com</w:t>
        </w:r>
      </w:hyperlink>
      <w:r>
        <w:rPr>
          <w:sz w:val="22"/>
          <w:szCs w:val="22"/>
        </w:rPr>
        <w:t xml:space="preserve"> , </w:t>
      </w:r>
      <w:hyperlink r:id="rId9" w:history="1">
        <w:r>
          <w:rPr>
            <w:rStyle w:val="Hyperlink"/>
            <w:sz w:val="22"/>
            <w:szCs w:val="22"/>
          </w:rPr>
          <w:t>irhamfitrah23@iainambon.ac.id</w:t>
        </w:r>
      </w:hyperlink>
      <w:r>
        <w:rPr>
          <w:sz w:val="22"/>
          <w:szCs w:val="22"/>
        </w:rPr>
        <w:t xml:space="preserve"> , </w:t>
      </w:r>
      <w:hyperlink r:id="rId10" w:history="1">
        <w:r>
          <w:rPr>
            <w:rStyle w:val="Hyperlink"/>
            <w:sz w:val="22"/>
            <w:szCs w:val="22"/>
          </w:rPr>
          <w:t>amt0308@iainambon.ac.id</w:t>
        </w:r>
      </w:hyperlink>
      <w:r>
        <w:rPr>
          <w:sz w:val="22"/>
          <w:szCs w:val="22"/>
        </w:rPr>
        <w:t xml:space="preserve"> </w:t>
      </w:r>
    </w:p>
    <w:p w14:paraId="0C9F4F27" w14:textId="77777777" w:rsidR="00F41463" w:rsidRDefault="00000000">
      <w:pPr>
        <w:pBdr>
          <w:bottom w:val="single" w:sz="4" w:space="1" w:color="000000"/>
        </w:pBdr>
        <w:tabs>
          <w:tab w:val="left" w:pos="3090"/>
        </w:tabs>
      </w:pPr>
      <w:r>
        <w:tab/>
      </w:r>
    </w:p>
    <w:tbl>
      <w:tblPr>
        <w:tblStyle w:val="Style74"/>
        <w:tblW w:w="9322" w:type="dxa"/>
        <w:tblInd w:w="-115" w:type="dxa"/>
        <w:tblLayout w:type="fixed"/>
        <w:tblLook w:val="04A0" w:firstRow="1" w:lastRow="0" w:firstColumn="1" w:lastColumn="0" w:noHBand="0" w:noVBand="1"/>
      </w:tblPr>
      <w:tblGrid>
        <w:gridCol w:w="1134"/>
        <w:gridCol w:w="1668"/>
        <w:gridCol w:w="6520"/>
      </w:tblGrid>
      <w:tr w:rsidR="00F41463" w14:paraId="1E4CEC03" w14:textId="77777777">
        <w:tc>
          <w:tcPr>
            <w:tcW w:w="2802" w:type="dxa"/>
            <w:gridSpan w:val="2"/>
            <w:shd w:val="clear" w:color="auto" w:fill="FFFFFF"/>
            <w:vAlign w:val="center"/>
          </w:tcPr>
          <w:p w14:paraId="56AC46AA" w14:textId="77777777" w:rsidR="00F41463" w:rsidRDefault="00000000">
            <w:pPr>
              <w:pBdr>
                <w:bottom w:val="single" w:sz="4" w:space="1" w:color="000000"/>
              </w:pBdr>
              <w:tabs>
                <w:tab w:val="left" w:pos="3090"/>
              </w:tabs>
              <w:spacing w:before="60" w:after="60"/>
              <w:rPr>
                <w:b/>
                <w:sz w:val="22"/>
                <w:szCs w:val="22"/>
              </w:rPr>
            </w:pPr>
            <w:r>
              <w:rPr>
                <w:b/>
                <w:sz w:val="22"/>
                <w:szCs w:val="22"/>
              </w:rPr>
              <w:t>Artikel info</w:t>
            </w:r>
          </w:p>
        </w:tc>
        <w:tc>
          <w:tcPr>
            <w:tcW w:w="6520" w:type="dxa"/>
            <w:shd w:val="clear" w:color="auto" w:fill="FFFFFF"/>
            <w:vAlign w:val="center"/>
          </w:tcPr>
          <w:p w14:paraId="2A1FBAC5" w14:textId="77777777" w:rsidR="00F41463" w:rsidRDefault="00000000">
            <w:pPr>
              <w:pBdr>
                <w:bottom w:val="single" w:sz="4" w:space="1" w:color="000000"/>
              </w:pBdr>
              <w:tabs>
                <w:tab w:val="left" w:pos="3090"/>
              </w:tabs>
              <w:spacing w:before="60" w:after="60"/>
              <w:ind w:left="317"/>
              <w:rPr>
                <w:b/>
                <w:sz w:val="22"/>
                <w:szCs w:val="22"/>
              </w:rPr>
            </w:pPr>
            <w:r>
              <w:rPr>
                <w:b/>
                <w:i/>
                <w:sz w:val="22"/>
                <w:szCs w:val="22"/>
              </w:rPr>
              <w:t>Abstract</w:t>
            </w:r>
          </w:p>
        </w:tc>
      </w:tr>
      <w:tr w:rsidR="00F41463" w14:paraId="430D40F5" w14:textId="77777777">
        <w:tc>
          <w:tcPr>
            <w:tcW w:w="1134" w:type="dxa"/>
            <w:shd w:val="clear" w:color="auto" w:fill="FFFFFF"/>
          </w:tcPr>
          <w:p w14:paraId="0806FDC5" w14:textId="77777777" w:rsidR="00F41463" w:rsidRDefault="00000000">
            <w:pPr>
              <w:tabs>
                <w:tab w:val="left" w:pos="3090"/>
              </w:tabs>
              <w:rPr>
                <w:sz w:val="22"/>
                <w:szCs w:val="22"/>
              </w:rPr>
            </w:pPr>
            <w:r>
              <w:rPr>
                <w:sz w:val="22"/>
                <w:szCs w:val="22"/>
              </w:rPr>
              <w:t>Accepted</w:t>
            </w:r>
          </w:p>
          <w:p w14:paraId="0F421768" w14:textId="77777777" w:rsidR="00F41463" w:rsidRDefault="00000000">
            <w:pPr>
              <w:tabs>
                <w:tab w:val="left" w:pos="3090"/>
              </w:tabs>
              <w:rPr>
                <w:sz w:val="22"/>
                <w:szCs w:val="22"/>
              </w:rPr>
            </w:pPr>
            <w:r>
              <w:rPr>
                <w:sz w:val="22"/>
                <w:szCs w:val="22"/>
              </w:rPr>
              <w:t>Approved</w:t>
            </w:r>
          </w:p>
          <w:p w14:paraId="7588A407" w14:textId="77777777" w:rsidR="00F41463" w:rsidRDefault="00000000">
            <w:pPr>
              <w:tabs>
                <w:tab w:val="left" w:pos="3090"/>
              </w:tabs>
              <w:rPr>
                <w:sz w:val="22"/>
                <w:szCs w:val="22"/>
              </w:rPr>
            </w:pPr>
            <w:r>
              <w:rPr>
                <w:sz w:val="22"/>
                <w:szCs w:val="22"/>
              </w:rPr>
              <w:t>Published</w:t>
            </w:r>
          </w:p>
          <w:p w14:paraId="1609AA0A" w14:textId="77777777" w:rsidR="00F41463" w:rsidRDefault="00000000">
            <w:pPr>
              <w:tabs>
                <w:tab w:val="left" w:pos="3090"/>
              </w:tabs>
              <w:rPr>
                <w:sz w:val="22"/>
                <w:szCs w:val="22"/>
              </w:rPr>
            </w:pPr>
            <w:r>
              <w:rPr>
                <w:sz w:val="22"/>
                <w:szCs w:val="22"/>
              </w:rPr>
              <w:t xml:space="preserve"> </w:t>
            </w:r>
          </w:p>
        </w:tc>
        <w:tc>
          <w:tcPr>
            <w:tcW w:w="1668" w:type="dxa"/>
            <w:shd w:val="clear" w:color="auto" w:fill="FFFFFF"/>
          </w:tcPr>
          <w:p w14:paraId="0BCD011A" w14:textId="609366A7" w:rsidR="00F41463" w:rsidRDefault="00000000">
            <w:pPr>
              <w:tabs>
                <w:tab w:val="left" w:pos="2102"/>
                <w:tab w:val="left" w:pos="3090"/>
              </w:tabs>
              <w:rPr>
                <w:sz w:val="22"/>
                <w:szCs w:val="22"/>
              </w:rPr>
            </w:pPr>
            <w:r>
              <w:rPr>
                <w:sz w:val="22"/>
                <w:szCs w:val="22"/>
              </w:rPr>
              <w:t xml:space="preserve">: </w:t>
            </w:r>
            <w:r w:rsidR="00D347FB">
              <w:rPr>
                <w:sz w:val="22"/>
                <w:szCs w:val="22"/>
              </w:rPr>
              <w:t>Oct 6</w:t>
            </w:r>
            <w:r w:rsidR="00D347FB" w:rsidRPr="00D347FB">
              <w:rPr>
                <w:sz w:val="22"/>
                <w:szCs w:val="22"/>
                <w:vertAlign w:val="superscript"/>
              </w:rPr>
              <w:t>th</w:t>
            </w:r>
            <w:r w:rsidR="00D347FB">
              <w:rPr>
                <w:sz w:val="22"/>
                <w:szCs w:val="22"/>
              </w:rPr>
              <w:t>, 2026</w:t>
            </w:r>
          </w:p>
          <w:p w14:paraId="52AFF027" w14:textId="3FCAB6BA" w:rsidR="00F41463" w:rsidRDefault="00000000">
            <w:pPr>
              <w:tabs>
                <w:tab w:val="left" w:pos="2102"/>
                <w:tab w:val="left" w:pos="3090"/>
              </w:tabs>
              <w:rPr>
                <w:sz w:val="22"/>
                <w:szCs w:val="22"/>
              </w:rPr>
            </w:pPr>
            <w:r>
              <w:rPr>
                <w:sz w:val="22"/>
                <w:szCs w:val="22"/>
              </w:rPr>
              <w:t xml:space="preserve">: </w:t>
            </w:r>
            <w:r w:rsidR="00D347FB">
              <w:rPr>
                <w:sz w:val="22"/>
                <w:szCs w:val="22"/>
              </w:rPr>
              <w:t>Oct 7</w:t>
            </w:r>
            <w:r w:rsidR="00D347FB" w:rsidRPr="00D347FB">
              <w:rPr>
                <w:sz w:val="22"/>
                <w:szCs w:val="22"/>
                <w:vertAlign w:val="superscript"/>
              </w:rPr>
              <w:t>th</w:t>
            </w:r>
            <w:r w:rsidR="00D347FB">
              <w:rPr>
                <w:sz w:val="22"/>
                <w:szCs w:val="22"/>
              </w:rPr>
              <w:t>, 2026</w:t>
            </w:r>
          </w:p>
          <w:p w14:paraId="429CDA5D" w14:textId="24C1FB0C" w:rsidR="00F41463" w:rsidRDefault="00000000">
            <w:pPr>
              <w:tabs>
                <w:tab w:val="left" w:pos="3090"/>
              </w:tabs>
              <w:rPr>
                <w:sz w:val="22"/>
                <w:szCs w:val="22"/>
              </w:rPr>
            </w:pPr>
            <w:r>
              <w:rPr>
                <w:sz w:val="22"/>
                <w:szCs w:val="22"/>
              </w:rPr>
              <w:t xml:space="preserve">: </w:t>
            </w:r>
            <w:r w:rsidR="00D347FB">
              <w:rPr>
                <w:sz w:val="22"/>
                <w:szCs w:val="22"/>
              </w:rPr>
              <w:t>Oct 8</w:t>
            </w:r>
            <w:r w:rsidR="00D347FB" w:rsidRPr="00D347FB">
              <w:rPr>
                <w:sz w:val="22"/>
                <w:szCs w:val="22"/>
                <w:vertAlign w:val="superscript"/>
              </w:rPr>
              <w:t>th</w:t>
            </w:r>
            <w:r w:rsidR="00D347FB">
              <w:rPr>
                <w:sz w:val="22"/>
                <w:szCs w:val="22"/>
              </w:rPr>
              <w:t>, 2026</w:t>
            </w:r>
          </w:p>
        </w:tc>
        <w:tc>
          <w:tcPr>
            <w:tcW w:w="6520" w:type="dxa"/>
            <w:vMerge w:val="restart"/>
            <w:shd w:val="clear" w:color="auto" w:fill="FFFFFF"/>
          </w:tcPr>
          <w:p w14:paraId="16720598" w14:textId="77777777" w:rsidR="00F41463" w:rsidRDefault="00000000">
            <w:pPr>
              <w:spacing w:before="120" w:after="120"/>
              <w:ind w:left="317"/>
              <w:jc w:val="both"/>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From Ancestral Bonds to Universal Humanity: Prophetic Humanism and the Transcendental Dimension of Interfaith Brotherhood in Maluku. </w:t>
            </w:r>
            <w:r>
              <w:rPr>
                <w:rFonts w:ascii="Times New Roman" w:eastAsia="Times New Roman" w:hAnsi="Times New Roman" w:cs="Times New Roman"/>
                <w:i/>
                <w:color w:val="000000"/>
                <w:sz w:val="22"/>
                <w:szCs w:val="22"/>
              </w:rPr>
              <w:t>This article examines how interfaith brotherhood rooted in the pela and gandong traditions of Maluku can move from ties bound by ancestral history toward a universal ethic of humanity. The study is based on field research in three negeri in Ambon City—Batu Merah (Muslim), Passo (Christian), and Ema (Christian)—using a qualitative approach with phenomenological and hermeneutic readings, supported by observation, interviews with customary and religious leaders, documentation, and library research. The analysis draws on Kuntowijoyo’s prophetic social science (humanization, liberation, transcendence) together with the ethics of encounter in Buber, Levinas, and Ricoeur. The findings show that the pela between Batu Merah and Passo and the gandong between Batu Merah and Ema are lived through mutual participation in religious celebrations, and that their members understand the bond as a dual responsibility: horizontally toward fellow human beings and vertically toward God according to each faith. However, the brotherhood is still largely understood as limited to communities sharing a historical bond. The article argues that the motto “ale rasa beta rasa” contains a universal ethical principle that can liberate brotherhood from these historical boundaries, and proposes a three-layer model—historical bond, ethic of humanity, and plural transcendence—for strengthening peace in Maluku.</w:t>
            </w:r>
          </w:p>
          <w:p w14:paraId="2F4D4999" w14:textId="77777777" w:rsidR="00F41463" w:rsidRDefault="00F41463">
            <w:pPr>
              <w:spacing w:before="120" w:after="120"/>
              <w:ind w:left="317"/>
              <w:jc w:val="both"/>
              <w:rPr>
                <w:rFonts w:ascii="Times New Roman" w:eastAsia="Times New Roman" w:hAnsi="Times New Roman" w:cs="Times New Roman"/>
                <w:color w:val="000000"/>
                <w:sz w:val="22"/>
                <w:szCs w:val="22"/>
              </w:rPr>
            </w:pPr>
          </w:p>
        </w:tc>
      </w:tr>
      <w:tr w:rsidR="00F41463" w14:paraId="254E6F6A" w14:textId="77777777">
        <w:tc>
          <w:tcPr>
            <w:tcW w:w="2802" w:type="dxa"/>
            <w:gridSpan w:val="2"/>
            <w:shd w:val="clear" w:color="auto" w:fill="FFFFFF"/>
          </w:tcPr>
          <w:p w14:paraId="6E81D0B1" w14:textId="77777777" w:rsidR="00F41463" w:rsidRDefault="00000000">
            <w:pPr>
              <w:jc w:val="both"/>
              <w:rPr>
                <w:rFonts w:ascii="Times New Roman" w:eastAsia="Times New Roman" w:hAnsi="Times New Roman" w:cs="Times New Roman"/>
                <w:b/>
                <w:i/>
                <w:color w:val="000000"/>
                <w:sz w:val="22"/>
                <w:szCs w:val="22"/>
              </w:rPr>
            </w:pPr>
            <w:r>
              <w:rPr>
                <w:rFonts w:ascii="Times New Roman" w:eastAsia="Times New Roman" w:hAnsi="Times New Roman" w:cs="Times New Roman"/>
                <w:b/>
                <w:i/>
                <w:color w:val="000000"/>
                <w:sz w:val="22"/>
                <w:szCs w:val="22"/>
              </w:rPr>
              <w:t xml:space="preserve">Keywords: </w:t>
            </w:r>
          </w:p>
          <w:p w14:paraId="05300067" w14:textId="77777777" w:rsidR="00F41463" w:rsidRDefault="00000000">
            <w:pP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interfaith brotherhood; pela gandong; prophetic humanism; transcendence; ethics of encounter</w:t>
            </w:r>
          </w:p>
        </w:tc>
        <w:tc>
          <w:tcPr>
            <w:tcW w:w="6520" w:type="dxa"/>
            <w:vMerge/>
            <w:shd w:val="clear" w:color="auto" w:fill="FFFFFF"/>
          </w:tcPr>
          <w:p w14:paraId="1D8C2AB0" w14:textId="77777777" w:rsidR="00F41463" w:rsidRDefault="00F41463">
            <w:pPr>
              <w:widowControl w:val="0"/>
              <w:spacing w:line="276" w:lineRule="auto"/>
              <w:rPr>
                <w:rFonts w:ascii="Times New Roman" w:eastAsia="Times New Roman" w:hAnsi="Times New Roman" w:cs="Times New Roman"/>
                <w:color w:val="000000"/>
                <w:sz w:val="22"/>
                <w:szCs w:val="22"/>
              </w:rPr>
            </w:pPr>
          </w:p>
        </w:tc>
      </w:tr>
      <w:tr w:rsidR="00F41463" w14:paraId="1A3E6D08" w14:textId="77777777">
        <w:tc>
          <w:tcPr>
            <w:tcW w:w="2802" w:type="dxa"/>
            <w:gridSpan w:val="2"/>
            <w:shd w:val="clear" w:color="auto" w:fill="FFFFFF"/>
          </w:tcPr>
          <w:p w14:paraId="4D15084E" w14:textId="77777777" w:rsidR="00F41463" w:rsidRDefault="00F41463">
            <w:pPr>
              <w:tabs>
                <w:tab w:val="left" w:pos="3090"/>
              </w:tabs>
              <w:rPr>
                <w:sz w:val="22"/>
                <w:szCs w:val="22"/>
              </w:rPr>
            </w:pPr>
          </w:p>
        </w:tc>
        <w:tc>
          <w:tcPr>
            <w:tcW w:w="6520" w:type="dxa"/>
            <w:shd w:val="clear" w:color="auto" w:fill="FFFFFF"/>
          </w:tcPr>
          <w:p w14:paraId="3AEC6729" w14:textId="77777777" w:rsidR="00F41463" w:rsidRDefault="00000000">
            <w:pPr>
              <w:tabs>
                <w:tab w:val="left" w:pos="3090"/>
              </w:tabs>
              <w:ind w:left="317"/>
              <w:rPr>
                <w:b/>
                <w:sz w:val="22"/>
                <w:szCs w:val="22"/>
              </w:rPr>
            </w:pPr>
            <w:r>
              <w:rPr>
                <w:b/>
                <w:sz w:val="22"/>
                <w:szCs w:val="22"/>
              </w:rPr>
              <w:t>Abstrak</w:t>
            </w:r>
          </w:p>
        </w:tc>
      </w:tr>
      <w:tr w:rsidR="00F41463" w14:paraId="2461AD71" w14:textId="77777777">
        <w:tc>
          <w:tcPr>
            <w:tcW w:w="2802" w:type="dxa"/>
            <w:gridSpan w:val="2"/>
            <w:shd w:val="clear" w:color="auto" w:fill="FFFFFF"/>
          </w:tcPr>
          <w:p w14:paraId="67E99D47" w14:textId="77777777" w:rsidR="00F41463" w:rsidRDefault="00000000">
            <w:pP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Kata kunci</w:t>
            </w:r>
            <w:r>
              <w:rPr>
                <w:rFonts w:ascii="Times New Roman" w:eastAsia="Times New Roman" w:hAnsi="Times New Roman" w:cs="Times New Roman"/>
                <w:color w:val="000000"/>
                <w:sz w:val="22"/>
                <w:szCs w:val="22"/>
              </w:rPr>
              <w:t xml:space="preserve">: </w:t>
            </w:r>
          </w:p>
          <w:p w14:paraId="084390AD" w14:textId="77777777" w:rsidR="00F41463" w:rsidRDefault="00000000">
            <w:pPr>
              <w:jc w:val="both"/>
              <w:rPr>
                <w:rFonts w:ascii="Times New Roman" w:eastAsia="Times New Roman" w:hAnsi="Times New Roman" w:cs="Times New Roman"/>
                <w:i/>
                <w:color w:val="000000"/>
                <w:sz w:val="22"/>
                <w:szCs w:val="22"/>
              </w:rPr>
            </w:pPr>
            <w:r>
              <w:rPr>
                <w:rFonts w:ascii="Times New Roman" w:eastAsia="Times New Roman" w:hAnsi="Times New Roman" w:cs="Times New Roman"/>
                <w:i/>
                <w:color w:val="000000"/>
                <w:sz w:val="22"/>
                <w:szCs w:val="22"/>
              </w:rPr>
              <w:t>persaudaraan lintas iman; pela gandong; humanisme profetik; transendensi; etika perjumpaan</w:t>
            </w:r>
          </w:p>
          <w:p w14:paraId="2311F532" w14:textId="77777777" w:rsidR="00F41463" w:rsidRDefault="00F41463">
            <w:pPr>
              <w:spacing w:before="120" w:after="120"/>
              <w:ind w:left="567"/>
              <w:jc w:val="both"/>
              <w:rPr>
                <w:rFonts w:ascii="Times New Roman" w:eastAsia="Times New Roman" w:hAnsi="Times New Roman" w:cs="Times New Roman"/>
                <w:i/>
                <w:smallCaps/>
                <w:color w:val="000000"/>
                <w:sz w:val="22"/>
                <w:szCs w:val="22"/>
              </w:rPr>
            </w:pPr>
          </w:p>
        </w:tc>
        <w:tc>
          <w:tcPr>
            <w:tcW w:w="6520" w:type="dxa"/>
            <w:shd w:val="clear" w:color="auto" w:fill="FFFFFF"/>
          </w:tcPr>
          <w:p w14:paraId="02F8496C" w14:textId="77777777" w:rsidR="00F41463" w:rsidRDefault="00000000">
            <w:pPr>
              <w:spacing w:before="120" w:after="120"/>
              <w:ind w:left="317"/>
              <w:jc w:val="both"/>
              <w:rPr>
                <w:rFonts w:ascii="Times New Roman" w:eastAsia="Times New Roman" w:hAnsi="Times New Roman" w:cs="Times New Roman"/>
                <w:i/>
                <w:color w:val="000000"/>
                <w:sz w:val="22"/>
                <w:szCs w:val="22"/>
              </w:rPr>
            </w:pPr>
            <w:r>
              <w:rPr>
                <w:rFonts w:ascii="Times New Roman" w:eastAsia="Times New Roman" w:hAnsi="Times New Roman" w:cs="Times New Roman"/>
                <w:color w:val="000000"/>
                <w:sz w:val="22"/>
                <w:szCs w:val="22"/>
              </w:rPr>
              <w:t xml:space="preserve">Artikel ini menelaah bagaimana persaudaraan lintas iman yang berakar pada tradisi pela dan gandong di Maluku dapat bergerak dari ikatan yang dibatasi sejarah leluhur menuju etika kemanusiaan yang universal. Kajian ini didasarkan pada penelitian lapangan di tiga negeri di Kota Ambon, yaitu Batu Merah (Muslim), Passo (Kristen), dan Ema (Kristen), dengan pendekatan kualitatif bercorak fenomenologis dan hermeneutis, melalui observasi, wawancara dengan tokoh adat dan tokoh agama, dokumentasi, serta studi pustaka. Analisis menggunakan ilmu sosial profetik Kuntowijoyo </w:t>
            </w:r>
            <w:r>
              <w:rPr>
                <w:rFonts w:ascii="Times New Roman" w:eastAsia="Times New Roman" w:hAnsi="Times New Roman" w:cs="Times New Roman"/>
                <w:color w:val="000000"/>
                <w:sz w:val="22"/>
                <w:szCs w:val="22"/>
              </w:rPr>
              <w:lastRenderedPageBreak/>
              <w:t>(humanisasi, liberasi, transendensi) dan etika perjumpaan dalam pemikiran Buber, Levinas, dan Ricoeur. Hasil penelitian menunjukkan bahwa pela Batu Merah–Passo dan gandong Batu Merah–Ema dihidupi melalui keterlibatan timbal balik dalam perayaan keagamaan, dan dimaknai warganya sebagai tanggung jawab ganda: secara horizontal kepada sesama manusia dan secara vertikal kepada Tuhan menurut iman masing-masing. Namun, persaudaraan itu masih cenderung dipahami terbatas pada komunitas yang memiliki ikatan sejarah. Artikel ini berargumen bahwa semboyan “ale rasa beta rasa” mengandung prinsip etis universal yang dapat membebaskan persaudaraan dari sekat sejarah, dan menawarkan model tiga lapis, yakni ikatan sejarah, etika kemanusiaan, dan transendensi plural, untuk memperkuat perdamaian di Maluku.</w:t>
            </w:r>
          </w:p>
          <w:p w14:paraId="0A2567F0" w14:textId="77777777" w:rsidR="00F41463" w:rsidRDefault="00F41463">
            <w:pPr>
              <w:spacing w:before="120" w:after="120"/>
              <w:ind w:left="317"/>
              <w:jc w:val="both"/>
              <w:rPr>
                <w:rFonts w:ascii="Times New Roman" w:eastAsia="Times New Roman" w:hAnsi="Times New Roman" w:cs="Times New Roman"/>
                <w:i/>
                <w:color w:val="000000"/>
                <w:sz w:val="22"/>
                <w:szCs w:val="22"/>
              </w:rPr>
            </w:pPr>
          </w:p>
          <w:p w14:paraId="58112267" w14:textId="77777777" w:rsidR="00F41463" w:rsidRDefault="00F41463">
            <w:pPr>
              <w:spacing w:before="120" w:after="120"/>
              <w:ind w:left="317"/>
              <w:jc w:val="both"/>
              <w:rPr>
                <w:rFonts w:ascii="Times New Roman" w:eastAsia="Times New Roman" w:hAnsi="Times New Roman" w:cs="Times New Roman"/>
                <w:i/>
                <w:color w:val="000000"/>
                <w:sz w:val="22"/>
                <w:szCs w:val="22"/>
              </w:rPr>
            </w:pPr>
          </w:p>
        </w:tc>
      </w:tr>
    </w:tbl>
    <w:p w14:paraId="52477F0C" w14:textId="77777777" w:rsidR="00F41463" w:rsidRDefault="00F41463">
      <w:pPr>
        <w:spacing w:before="120" w:after="120" w:line="276" w:lineRule="auto"/>
        <w:ind w:firstLine="567"/>
        <w:jc w:val="both"/>
        <w:rPr>
          <w:rFonts w:ascii="Times New Roman" w:eastAsia="Times New Roman" w:hAnsi="Times New Roman" w:cs="Times New Roman"/>
          <w:color w:val="000000"/>
        </w:rPr>
      </w:pPr>
    </w:p>
    <w:p w14:paraId="1BE1D5A4"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Pendahuluan</w:t>
      </w:r>
    </w:p>
    <w:p w14:paraId="41CDA5BB"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Maluku dikenal memiliki salah satu khazanah kearifan lokal paling kuat di Indonesia dalam mengatur hubungan antarkomunitas, yaitu pela dan gandong. Melalui ikatan ini, negeri-negeri yang berbeda agama, terutama Islam dan Kristen, dipersatukan sebagai saudara. Sejumlah kajian menunjukkan bahwa ikatan tersebut berperan penting dalam meredam konflik dan memulihkan relasi sosial pascakonflik 1999–2002 (Bakri, 2015; Tubaka, 2021; Bräuchler, 2015).</w:t>
      </w:r>
    </w:p>
    <w:p w14:paraId="095BD6C5"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Namun, sejarah Maluku juga memperlihatkan bahwa kekuatan pela dan gandong memiliki batas. Konflik komunal yang berlangsung sejak 1999 menunjukkan betapa rapuhnya kohesi sosial ketika isu agama dimobilisasi (Rahawarin, 2013). Bentrokan di Kota Ambon pada September 2011 kembali menegaskan kerentanan itu. Pada Januari 2022, bentrokan antara warga Ori dan Kariuw di Pulau Haruku menelan korban jiwa dan memaksa warga Kariuw mengungsi, meskipun aparat menegaskan bahwa pemicunya adalah sengketa batas lahan, bukan agama (Antara, 2022).</w:t>
      </w:r>
    </w:p>
    <w:p w14:paraId="234B0342"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Peristiwa-peristiwa tersebut memunculkan pertanyaan filosofis yang mendasar. Jika pela dan gandong mengajarkan persaudaraan, mengapa nilai itu tidak selalu mencegah kekerasan? Salah satu jawabannya terletak pada cara persaudaraan itu dipahami. Dalam praktik, banyak warga memahami pela dan gandong sebagai ikatan yang berlaku hanya bagi negeri-negeri yang memiliki sejarah perjanjian atau pertalian darah. Di luar ikatan itu, kewajiban persaudaraan dianggap tidak berlaku. Dengan kata lain, nilai yang sesungguhnya universal dipersempit menjadi ikatan yang partikular.</w:t>
      </w:r>
    </w:p>
    <w:p w14:paraId="0FC8BD97"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Padahal, semboyan yang paling dikenal dari tradisi ini, “ale rasa beta rasa, potong di kuku rasa di daging”, mengandung makna yang jauh lebih luas. Ungkapan itu menyatakan bahwa penderitaan orang lain adalah penderitaan diri sendiri. Prinsip semacam ini tidak dapat dibatasi oleh garis sejarah atau genealogi tanpa kehilangan maknanya. Di sinilah persoalan transendensi </w:t>
      </w:r>
      <w:r>
        <w:rPr>
          <w:rFonts w:ascii="Times New Roman" w:eastAsia="Times New Roman" w:hAnsi="Times New Roman" w:cs="Times New Roman"/>
          <w:color w:val="000000"/>
        </w:rPr>
        <w:lastRenderedPageBreak/>
        <w:t>muncul: bagaimana sebuah nilai lokal dapat melampaui batas-batas asalnya tanpa tercerabut dari akarnya?</w:t>
      </w:r>
    </w:p>
    <w:p w14:paraId="231E0FB1"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Persoalan ini juga relevan bagi kajian filsafat Islam. Pemikiran Islam memiliki khazanah yang kaya tentang martabat manusia, persaudaraan, dan tanggung jawab moral. Namun, khazanah ini jarang dipertemukan dengan kearifan lokal yang hidup di tengah masyarakat. Akibatnya, kajian filsafat sering berhenti pada teks, sementara kearifan lokal dipahami semata-mata sebagai fenomena sosial. Mempertemukan keduanya dapat memperkaya filsafat Islam sekaligus memberi kedalaman reflektif pada pemahaman tentang tradisi.</w:t>
      </w:r>
    </w:p>
    <w:p w14:paraId="534CB7D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Kajian-kajian terdahulu tentang pela dan gandong umumnya berfokus pada fungsi sosial, politik, dan resolusi konflik. Pendekatan filosofis yang menelaah struktur etis dan dimensi transendental dari persaudaraan ini masih jarang dilakukan. Padahal, tanpa pemahaman filosofis, upaya revitalisasi tradisi berisiko berhenti pada seremoni, tanpa menyentuh kesadaran moral yang menjadi dasarnya.</w:t>
      </w:r>
    </w:p>
    <w:p w14:paraId="41368CD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Artikel ini mengisi celah tersebut dengan menggunakan ilmu sosial profetik Kuntowijoyo, yang memuat tiga pilar, yaitu humanisasi, liberasi, dan transendensi (Kuntowijoyo, 1991, 2006). Kerangka ini dilengkapi dengan etika perjumpaan dalam pemikiran Buber, Levinas, dan Ricoeur. Kajian ini menjawab tiga pertanyaan. Pertama, bagaimana persaudaraan pela dan gandong dihidupi dalam relasi antara Batu Merah, Passo, dan Ema? Kedua, bagaimana warga memaknai dimensi transendental persaudaraan tersebut? Ketiga, bagaimana humanisme profetik dapat membantu membebaskan persaudaraan itu dari sekat sejarah menuju etika kemanusiaan yang universal?</w:t>
      </w:r>
    </w:p>
    <w:p w14:paraId="64C557F0"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Relasi Batu Merah, Passo, dan Ema dipilih karena menghadirkan dua jenis ikatan sekaligus dalam satu jaringan. Batu Merah sebagai negeri Muslim terhubung dengan Passo melalui pela dan dengan Ema melalui gandong, sementara Passo dan Ema adalah negeri Kristen. Konfigurasi ini memungkinkan perbandingan antara persaudaraan yang lahir dari sumpah dan persaudaraan yang lahir dari keyakinan akan asal-usul bersama, dalam konteks perjumpaan Islam dan Kristen di kota yang pernah menjadi pusat konflik.</w:t>
      </w:r>
    </w:p>
    <w:p w14:paraId="01CB7180"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Argumen yang diajukan adalah bahwa pela dan gandong memiliki dua lapis makna yang perlu dibedakan: lapis historis yang partikular dan lapis etis yang universal. Transendensi budaya pela dan gandong terjadi ketika lapis etis itu dihayati sebagai prinsip moral yang berlaku bagi semua manusia, sementara lapis historis tetap dirawat sebagai identitas dan memori bersama.</w:t>
      </w:r>
    </w:p>
    <w:p w14:paraId="74CDF0C5"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Kajian Pustaka</w:t>
      </w:r>
    </w:p>
    <w:p w14:paraId="1B9ABB65"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Pela dan gandong dalam kajian sosial</w:t>
      </w:r>
    </w:p>
    <w:p w14:paraId="1A13C59F"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Pela dan gandong telah lama menjadi perhatian para peneliti. Bartels (2017) menggambarkan pela sebagai institusi yang menghubungkan negeri-negeri di Maluku Tengah lintas agama, lengkap dengan aturan, sumpah, dan sanksi adat. Pela umumnya lahir dari peristiwa tertentu, seperti pertolongan dalam perang atau bencana, sedangkan gandong didasarkan pada keyakinan akan asal-usul keturunan yang sama. Ikatan-ikatan ini membentuk jaringan sosial yang menghubungkan komunitas Muslim dan Kristen sejak masa pra-kolonial.</w:t>
      </w:r>
    </w:p>
    <w:p w14:paraId="03911385"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Dalam masyarakat Maluku dikenal beberapa jenis ikatan. Pela keras lahir dari sumpah adat karena peristiwa yang sangat penting, seperti pertolongan di masa perang, dan biasanya disertai larangan-larangan yang ketat. Pela gandong atau bongso didasarkan pada keyakinan akan pertalian darah atau keturunan yang sama. Adapun pela tempat sirih lahir dari peristiwa yang tidak terlalu besar, misalnya pemulihan hubungan setelah perselisihan kecil atau balas jasa antarnegeri. Ketiga jenis ini memperlihatkan bahwa persaudaraan di Maluku selalu lahir dari peristiwa konkret dalam sejarah bersama (Bartels, 2017).</w:t>
      </w:r>
    </w:p>
    <w:p w14:paraId="6FA695FA"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Sejumlah kajian menyoroti peran pela dan gandong dalam resolusi konflik. Bakri (2015) menemukan bahwa ikatan pela antara Batu Merah dan Passo efektif meredam konflik bernuansa SARA di Kota Ambon. Jati (2013) memandang kearifan lokal sebagai sumber resolusi konflik keagamaan yang sering lebih efektif daripada pendekatan formal. Rahawarin (2013) menelaah kerja sama antarumat beragama dalam proses rekonsiliasi di Maluku dan Tual. Bräuchler (2015) memperlihatkan bagaimana dimensi budaya, termasuk pela, menjadi bagian penting dari proses perdamaian dan rekonsiliasi di Indonesia pascareformasi.</w:t>
      </w:r>
    </w:p>
    <w:p w14:paraId="64D48EA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Kajian lain menyoroti dimensi nilai. Malatuny dan Ritiauw (2018) memandang pela gandong sebagai budaya kewargaan (</w:t>
      </w:r>
      <w:r>
        <w:rPr>
          <w:rFonts w:ascii="Times New Roman" w:eastAsia="Times New Roman" w:hAnsi="Times New Roman" w:cs="Times New Roman"/>
          <w:i/>
          <w:color w:val="000000"/>
        </w:rPr>
        <w:t>civic culture</w:t>
      </w:r>
      <w:r>
        <w:rPr>
          <w:rFonts w:ascii="Times New Roman" w:eastAsia="Times New Roman" w:hAnsi="Times New Roman" w:cs="Times New Roman"/>
          <w:color w:val="000000"/>
        </w:rPr>
        <w:t>) yang terancam melemah di tengah arus globalisasi dan individualisme generasi muda. Ralahallo (2009) membaca kultur damai berbasis pela dari perspektif psikologi sosial. Solissa (2014) mengaitkan falsafah pela gandong dengan toleransi beragama dalam masyarakat Ambon yang multikultural. Manuhutu, Purwiyastuti, dan Widiarto (2017) menunjukkan peran pela gandong sebagai alat pemersatu di Negeri Haria. Hoedodo, Surjo, dan Qodir (2013) mengaitkannya dengan dinamika politik lokal di tengah konflik keagamaan.</w:t>
      </w:r>
    </w:p>
    <w:p w14:paraId="4971A02B"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Kajian di lingkungan Dialektika juga memberi kontribusi penting. Tubaka (2021) memperlihatkan bagaimana persaudaraan gandong antara Booi, Aboru, Kariu, dan Hualoy (BAKH) mengonstruksi budaya damai melalui keterlibatan bersama dalam pembangunan masjid dan gereja. Pattimahu dan Tubaka (2021) menunjukkan integrasi agama dan budaya dalam ritual Hitirima di Pelauw. Lopulalan, Salakay, dan Harun (2024) melihat Islam di Maluku sebagai kekuatan yang berinteraksi secara sinergis dengan budaya lokal.</w:t>
      </w:r>
    </w:p>
    <w:p w14:paraId="271A62FF"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Dari sudut teologi dan etika, Hehanussa (2009) menawarkan pela dan gandong sebagai model kehidupan bersama dalam konteks pluralisme agama. Ruhulessin (2005) menggali tradisi pela sebagai sumber etika publik. Kedua kajian ini mendekati pela dan gandong sebagai sumber nilai, bukan sekadar institusi sosial. Namun, keduanya bertolak dari perspektif teologi Kristen. Kajian yang membaca dimensi transendental pela dan gandong dari perspektif filsafat Islam, khususnya humanisme profetik, belum banyak dilakukan. Celah inilah yang hendak diisi artikel ini.</w:t>
      </w:r>
    </w:p>
    <w:p w14:paraId="3A548E27"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Humanisme profetik Kuntowijoyo</w:t>
      </w:r>
    </w:p>
    <w:p w14:paraId="58DE4CE0"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Kuntowijoyo (1991) merumuskan ilmu sosial profetik berdasarkan tafsirnya atas QS. Ali ‘Imran [3]: 110, yang menyebut umat terbaik sebagai mereka yang menyuruh kepada kebaikan, mencegah kemungkaran, dan beriman kepada Allah. Dari ayat ini ia menurunkan tiga pilar: humanisasi (</w:t>
      </w:r>
      <w:r>
        <w:rPr>
          <w:rFonts w:ascii="Times New Roman" w:eastAsia="Times New Roman" w:hAnsi="Times New Roman" w:cs="Times New Roman"/>
          <w:i/>
          <w:color w:val="000000"/>
        </w:rPr>
        <w:t>amar ma’ruf</w:t>
      </w:r>
      <w:r>
        <w:rPr>
          <w:rFonts w:ascii="Times New Roman" w:eastAsia="Times New Roman" w:hAnsi="Times New Roman" w:cs="Times New Roman"/>
          <w:color w:val="000000"/>
        </w:rPr>
        <w:t>), liberasi (</w:t>
      </w:r>
      <w:r>
        <w:rPr>
          <w:rFonts w:ascii="Times New Roman" w:eastAsia="Times New Roman" w:hAnsi="Times New Roman" w:cs="Times New Roman"/>
          <w:i/>
          <w:color w:val="000000"/>
        </w:rPr>
        <w:t>nahi munkar</w:t>
      </w:r>
      <w:r>
        <w:rPr>
          <w:rFonts w:ascii="Times New Roman" w:eastAsia="Times New Roman" w:hAnsi="Times New Roman" w:cs="Times New Roman"/>
          <w:color w:val="000000"/>
        </w:rPr>
        <w:t>), dan transendensi (</w:t>
      </w:r>
      <w:r>
        <w:rPr>
          <w:rFonts w:ascii="Times New Roman" w:eastAsia="Times New Roman" w:hAnsi="Times New Roman" w:cs="Times New Roman"/>
          <w:i/>
          <w:color w:val="000000"/>
        </w:rPr>
        <w:t>tu’minuna billah</w:t>
      </w:r>
      <w:r>
        <w:rPr>
          <w:rFonts w:ascii="Times New Roman" w:eastAsia="Times New Roman" w:hAnsi="Times New Roman" w:cs="Times New Roman"/>
          <w:color w:val="000000"/>
        </w:rPr>
        <w:t xml:space="preserve">). Humanisasi berarti memanusiakan manusia, liberasi berarti membebaskan manusia dari </w:t>
      </w:r>
      <w:r>
        <w:rPr>
          <w:rFonts w:ascii="Times New Roman" w:eastAsia="Times New Roman" w:hAnsi="Times New Roman" w:cs="Times New Roman"/>
          <w:color w:val="000000"/>
        </w:rPr>
        <w:lastRenderedPageBreak/>
        <w:t>struktur yang menindas, dan transendensi berarti mengarahkan seluruh upaya itu pada kesadaran akan Tuhan (Kuntowijoyo, 2006).</w:t>
      </w:r>
    </w:p>
    <w:p w14:paraId="63381DFE"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Ketiga pilar ini tidak dapat dipisahkan. Humanisasi tanpa transendensi berisiko terjebak dalam humanisme sekuler yang kehilangan pijakan nilai. Transendensi tanpa humanisasi dan liberasi berisiko menjadi kesalehan yang tidak peduli pada penderitaan sesama. Kajian-kajian mutakhir menegaskan relevansi kerangka ini untuk membaca berbagai persoalan sosial di Indonesia (Wulansari &amp; Khotimah, 2019; Supraja, 2019; Anwar, Pababbari, &amp; Ibrahim, 2023). Dalam artikel ini, kerangka tersebut dipakai untuk membaca bagaimana persaudaraan lokal dapat menjadi etika kemanusiaan yang berakar pada iman.</w:t>
      </w:r>
    </w:p>
    <w:p w14:paraId="7AE37355"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Penting dicatat bahwa humanisme dalam kerangka Kuntowijoyo berbeda dari humanisme antroposentris yang menempatkan manusia sebagai ukuran segala sesuatu. Humanisme profetik bersifat teosentris dalam orientasinya, tetapi antroposentris dalam kepeduliannya. Artinya, pusat nilai tetap pada Tuhan, sementara wujud pengabdian kepada Tuhan diarahkan pada pemuliaan manusia. Pembedaan ini membantu memahami bagaimana komunitas beragama dapat terlibat dalam etika kemanusiaan tanpa harus melepaskan keyakinan teologisnya.</w:t>
      </w:r>
    </w:p>
    <w:p w14:paraId="02CC90D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Pemikiran Kuntowijoyo memiliki kekerabatan dengan gagasan humanisme dalam Islam yang dikembangkan pemikir lain. Syari’ati (1996) menekankan bahwa humanisme Islam berbeda dari humanisme Barat karena menempatkan manusia sebagai wakil Tuhan yang memikul tanggung jawab moral. Madjid (1992) menegaskan bahwa tauhid melahirkan sikap egaliter dan penghargaan terhadap martabat setiap manusia. Wahid (2006) menekankan bahwa Islam harus hadir sebagai kekuatan yang memanusiakan, termasuk dalam relasi dengan pemeluk agama lain.</w:t>
      </w:r>
    </w:p>
    <w:p w14:paraId="7CDC956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Dalam sejarah pemikiran Barat, humanisme berkembang sejak masa Renaisans sebagai gerakan yang menempatkan manusia di pusat perhatian, sering kali sebagai reaksi terhadap otoritas gereja. Dalam perkembangannya, sebagian aliran humanisme menjadi sekuler dan memisahkan martabat manusia dari dasar ketuhanan. Syari’ati (1996) mengkritik kecenderungan ini karena dianggap melahirkan manusia yang kehilangan orientasi nilai. Baginya, humanisme Islam justru menempatkan martabat manusia dalam kerangka hubungan dengan Tuhan. Kerangka inilah yang dikembangkan Kuntowijoyo menjadi humanisme profetik, yaitu kepedulian kemanusiaan yang berakar pada kesadaran transendental.</w:t>
      </w:r>
    </w:p>
    <w:p w14:paraId="355BF3A6"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Etika perjumpaan: Buber, Levinas, dan Ricoeur</w:t>
      </w:r>
    </w:p>
    <w:p w14:paraId="239EFB74"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Martin Buber (1970) membedakan dua jenis relasi: relasi Aku-Itu dan relasi Aku-Engkau. Dalam relasi Aku-Itu, orang lain diperlakukan sebagai objek. Dalam relasi Aku-Engkau, orang lain dijumpai sebagai pribadi yang utuh. Bagi Buber, kehidupan manusia yang sejati terjadi dalam perjumpaan Aku-Engkau. Kerangka ini membantu membedakan persaudaraan yang bersifat formal dari persaudaraan yang lahir dari perjumpaan sejati.</w:t>
      </w:r>
    </w:p>
    <w:p w14:paraId="252143F2"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Emmanuel Levinas (1969) melangkah lebih jauh. Ia menyatakan bahwa wajah orang lain menghadirkan tuntutan etis yang mendahului segala teori. Wajah itu berkata, “jangan membunuh”, dan menuntut tanggung jawab yang tidak dapat ditolak. Tanggung jawab ini tidak bergantung pada kesamaan asal-usul, agama, atau sejarah. Ia berlaku semata-mata karena orang lain hadir di hadapan kita sebagai manusia.</w:t>
      </w:r>
    </w:p>
    <w:p w14:paraId="0838543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Bagi Levinas, relasi dengan orang lain bersifat asimetris. Aku bertanggung jawab kepada orang lain tanpa menuntut balasan yang setara. Pandangan ini mengoreksi etika timbal balik yang hanya berlaku di antara pihak-pihak yang saling terikat. Bila diterapkan pada tradisi persaudaraan, gagasan ini menantang pemahaman bahwa kewajiban moral hanya berlaku bagi mereka yang memiliki perjanjian dengan kita. Tanggung jawab etis justru dimulai sebelum adanya perjanjian apa pun.</w:t>
      </w:r>
    </w:p>
    <w:p w14:paraId="740459E9"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Paul Ricoeur (1992) dalam </w:t>
      </w:r>
      <w:r>
        <w:rPr>
          <w:rFonts w:ascii="Times New Roman" w:eastAsia="Times New Roman" w:hAnsi="Times New Roman" w:cs="Times New Roman"/>
          <w:i/>
          <w:color w:val="000000"/>
        </w:rPr>
        <w:t>Oneself as Another</w:t>
      </w:r>
      <w:r>
        <w:rPr>
          <w:rFonts w:ascii="Times New Roman" w:eastAsia="Times New Roman" w:hAnsi="Times New Roman" w:cs="Times New Roman"/>
          <w:color w:val="000000"/>
        </w:rPr>
        <w:t xml:space="preserve"> menunjukkan bahwa identitas diri selalu terjalin dengan orang lain. Diri baru dapat memahami dirinya melalui orang lain, sehingga penghargaan terhadap diri tidak terpisahkan dari kepedulian terhadap sesama. Ricoeur merumuskan tujuan etis sebagai “hidup baik bersama dan untuk orang lain dalam lembaga-lembaga yang adil”. Gagasan ini sangat dekat dengan semboyan “ale rasa beta rasa” yang menyatukan rasa diri dengan rasa orang lain.</w:t>
      </w:r>
    </w:p>
    <w:p w14:paraId="65FA30DC"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Ricoeur juga menekankan peran narasi dalam pembentukan identitas. Identitas sebuah komunitas dibentuk oleh kisah-kisah yang diceritakan tentang dirinya. Dalam konteks Maluku, kisah-kisah tentang asal-usul pela dan gandong merupakan narasi yang membentuk identitas negeri. Namun, narasi selalu terbuka untuk ditafsir ulang. Karena itu, narasi tentang persaudaraan dapat diperluas maknanya tanpa harus mengubah fakta sejarah yang melahirkannya.</w:t>
      </w:r>
    </w:p>
    <w:p w14:paraId="4A315372"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Transendensi dan pluralitas iman</w:t>
      </w:r>
    </w:p>
    <w:p w14:paraId="615B08F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Istilah transendensi berasal dari bahasa Latin </w:t>
      </w:r>
      <w:r>
        <w:rPr>
          <w:rFonts w:ascii="Times New Roman" w:eastAsia="Times New Roman" w:hAnsi="Times New Roman" w:cs="Times New Roman"/>
          <w:i/>
          <w:color w:val="000000"/>
        </w:rPr>
        <w:t>transcendere</w:t>
      </w:r>
      <w:r>
        <w:rPr>
          <w:rFonts w:ascii="Times New Roman" w:eastAsia="Times New Roman" w:hAnsi="Times New Roman" w:cs="Times New Roman"/>
          <w:color w:val="000000"/>
        </w:rPr>
        <w:t>, yang berarti memanjat atau melampaui. Dalam filsafat agama, transendensi merujuk pada realitas ilahi yang melampaui dunia, sekaligus pada kemampuan manusia untuk melampaui batas-batas dirinya. Rudolf Otto (1923) menggambarkan pengalaman akan Yang Kudus sebagai pengalaman yang menggetarkan sekaligus memikat. Pengalaman ini mendorong manusia keluar dari kepentingan dirinya menuju sesuatu yang lebih tinggi.</w:t>
      </w:r>
    </w:p>
    <w:p w14:paraId="7C74C42C"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Kuntowijoyo memberi makna transendensi yang lebih praksis. Baginya, transendensi bukan sekadar konsep metafisik tentang Tuhan yang berada di luar dunia, melainkan kesadaran yang menuntun tindakan manusia di dalam sejarah (Kuntowijoyo, 2006). Transendensi berfungsi sebagai sumber nilai dan sekaligus sebagai kritik terhadap kecenderungan manusia untuk memutlakkan kepentingannya sendiri. Dalam pengertian inilah transendensi dipakai dalam artikel ini: sebagai kesadaran yang mendorong manusia melampaui batas-batas kelompoknya demi kebaikan bersama.</w:t>
      </w:r>
    </w:p>
    <w:p w14:paraId="2696CC4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Dalam konteks masyarakat yang beragam, persoalannya adalah bagaimana transendensi dapat menjadi dasar bersama tanpa menghapus perbedaan iman. Hans Küng (1991) mengusulkan etika global yang bertumpu pada nilai-nilai bersama dari berbagai agama, seperti penghormatan terhadap kehidupan dan prinsip timbal balik. Dalam Islam, QS. al-Hujurat [49]: 13 menegaskan bahwa perbedaan bangsa dan suku dimaksudkan agar manusia saling mengenal, sedangkan QS. al-Mumtahanah [60]: 8 membuka ruang untuk berbuat baik dan berlaku adil kepada pemeluk agama lain yang tidak memusuhi. QS. al-Ma’idah [5]: 48 bahkan mengajak umat manusia berlomba dalam kebaikan di tengah perbedaan jalan hidup. Yakin (2016) </w:t>
      </w:r>
      <w:r>
        <w:rPr>
          <w:rFonts w:ascii="Times New Roman" w:eastAsia="Times New Roman" w:hAnsi="Times New Roman" w:cs="Times New Roman"/>
          <w:color w:val="000000"/>
        </w:rPr>
        <w:lastRenderedPageBreak/>
        <w:t>menegaskan bahwa kerja sama lintas agama untuk kebaikan bersama merupakan bagian dari ajaran Islam yang moderat.</w:t>
      </w:r>
    </w:p>
    <w:p w14:paraId="0226FEFC"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Salah satu prinsip yang ditemukan Küng di hampir semua tradisi agama adalah kaidah emas: perlakukan orang lain sebagaimana engkau ingin diperlakukan. Prinsip ini memiliki kemiripan yang kuat dengan semboyan “ale rasa beta rasa”. Keduanya berangkat dari kemampuan manusia untuk menempatkan diri pada posisi orang lain. Perbedaannya, semboyan Maluku menekankan dimensi rasa, yaitu turut merasakan, sedangkan kaidah emas menekankan dimensi tindakan. Keduanya saling melengkapi sebagai dasar etika kemanusiaan lintas iman.</w:t>
      </w:r>
    </w:p>
    <w:p w14:paraId="2D10B874"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Metode</w:t>
      </w:r>
    </w:p>
    <w:p w14:paraId="758108B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Penelitian ini menggunakan pendekatan kualitatif dengan memadukan penelitian lapangan dan studi pustaka. Lokasi penelitian adalah tiga negeri di Kota Ambon, Provinsi Maluku. Negeri Batu Merah, yang mayoritas penduduknya Muslim, dipilih sebagai titik pusat karena memiliki ikatan pela dengan Negeri Passo dan ikatan gandong dengan Negeri Ema, keduanya mayoritas Kristen. Relasi Batu Merah–Passo dipilih untuk mewakili ikatan pela, sedangkan relasi Batu Merah–Ema dipilih untuk mewakili ikatan gandong.</w:t>
      </w:r>
    </w:p>
    <w:p w14:paraId="72394041"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Pendekatan fenomenologis digunakan untuk memahami makna persaudaraan sebagaimana dialami dan dipahami oleh warga sendiri. Pendekatan ini menangguhkan penilaian peneliti sampai makna yang dihayati informan dapat dipahami (Creswell, 1998; Moustakas, 1994). Pendekatan hermeneutis digunakan untuk membaca teks-teks keagamaan, terutama ayat-ayat Al-Qur’an tentang relasi kemanusiaan, dan merelevansikannya dengan realitas yang dikaji.</w:t>
      </w:r>
    </w:p>
    <w:p w14:paraId="1962F8B9"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Data primer dikumpulkan melalui observasi terhadap praktik relasi antarnegeri, wawancara dengan informan kunci, dan dokumentasi. Informan dipilih secara purposif, meliputi tokoh adat Batu Merah, kepala saniri (lembaga adat) Negeri Passo, serta tokoh agama Negeri Ema. Data sekunder diperoleh dari buku, artikel jurnal, dan pemberitaan media tentang kegiatan bersama ketiga negeri. Data dianalisis melalui reduksi, penyajian, dan penarikan kesimpulan, kemudian dibaca secara filosofis dengan kerangka humanisme profetik dan etika perjumpaan.</w:t>
      </w:r>
    </w:p>
    <w:p w14:paraId="04EC957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Dalam proses penelitian, peneliti berupaya menempatkan diri sebagai pendengar yang menangguhkan penilaian. Pertanyaan wawancara diarahkan pada pengalaman informan dalam menjalani persaudaraan, makna yang mereka berikan pada ikatan itu, serta hubungan antara adat dan agama dalam pandangan mereka. Hasil wawancara kemudian dibandingkan dengan dokumentasi kegiatan dan pemberitaan media untuk memperoleh gambaran yang lebih utuh. Pembacaan filosofis dilakukan setelah makna yang dihayati informan dirumuskan, agar analisis tidak mendahului pengalaman komunitas.</w:t>
      </w:r>
    </w:p>
    <w:p w14:paraId="032EE248"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Hasil</w:t>
      </w:r>
    </w:p>
    <w:p w14:paraId="38AB94C9"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Pela Batu Merah–Passo: persaudaraan lintas iman yang kokoh</w:t>
      </w:r>
    </w:p>
    <w:p w14:paraId="2977B871"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Ikatan pela antara Batu Merah dan Passo termasuk jenis pela keras, yaitu pela yang lahir dari sumpah adat karena peristiwa penting di masa lalu. Penelitian ini menemukan bahwa ikatan tersebut dipandang kuat, baik secara kultural maupun dalam keyakinan warga. Meskipun warga </w:t>
      </w:r>
      <w:r>
        <w:rPr>
          <w:rFonts w:ascii="Times New Roman" w:eastAsia="Times New Roman" w:hAnsi="Times New Roman" w:cs="Times New Roman"/>
          <w:color w:val="000000"/>
        </w:rPr>
        <w:lastRenderedPageBreak/>
        <w:t>Batu Merah beragama Islam dan warga Passo beragama Kristen, ikatan pela menjadi simbol yang menyatukan keduanya, terutama dalam urusan kebudayaan dan kemanusiaan.</w:t>
      </w:r>
    </w:p>
    <w:p w14:paraId="70EB9439"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Batu Merah merupakan kawasan permukiman Muslim terbesar di Kota Ambon (Kompas TV, 2020). Kedudukannya sebagai negeri Muslim yang memiliki dua saudara Kristen sekaligus, yakni Passo melalui pela dan Ema melalui gandong, menjadikan Batu Merah titik yang strategis untuk memahami persaudaraan lintas iman di Ambon. Relasi ketiga negeri ini memperlihatkan bagaimana dua jenis ikatan yang berbeda dasarnya dapat dihidupi secara bersamaan oleh satu komunitas.</w:t>
      </w:r>
    </w:p>
    <w:p w14:paraId="18A2525C"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Kekuatan ikatan ini tampak dalam keterlibatan timbal balik pada perayaan keagamaan. Dokumentasi penelitian memperlihatkan warga Passo turut mengamankan pawai malam Idul Fitri di Batu Merah dan anak-anak Passo menampilkan tarian dalam karnaval yang digelar di Batu Merah. Pada festival hadrat yang digelar Batu Merah bertepatan dengan Idul Adha 1437 H, Passo hadir sebagai saudara pela, dan Balai Pelestarian Nilai Budaya Maluku menilai festival itu sebagai wujud pelestarian nilai religi sekaligus ikatan persaudaraan (Antara, 2016).</w:t>
      </w:r>
    </w:p>
    <w:p w14:paraId="263E4C72"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Gandong Batu Merah–Ema: persaudaraan sebagai tanggung jawab</w:t>
      </w:r>
    </w:p>
    <w:p w14:paraId="3F076DA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Ikatan Batu Merah dan Ema berbentuk gandong, yaitu persaudaraan yang diyakini berakar pada asal-usul yang sama. Penelitian ini menemukan bahwa gandong tidak hanya dipahami dari latar belakang sejarahnya. Warga kedua negeri memahami gandong sebagai kesadaran akan tanggung jawab, hak, dan kewajiban di antara mereka sebagai saudara.</w:t>
      </w:r>
    </w:p>
    <w:p w14:paraId="1B06A15F"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Kesadaran ini memiliki implikasi praktis. Sebagai saudara, warga kedua negeri merasa memiliki kewajiban untuk saling membantu, terutama dalam kegiatan besar seperti perayaan hari raya dan pembangunan rumah ibadah. Pada saat yang sama, mereka juga merasa memiliki hak untuk dilibatkan dan dihormati sebagai saudara. Relasi hak dan kewajiban inilah yang menjadikan gandong lebih dari sekadar kenangan tentang asal-usul bersama.</w:t>
      </w:r>
    </w:p>
    <w:p w14:paraId="68697D1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Keterlibatan warga Ema juga tampak dalam perayaan di Batu Merah. Dokumentasi penelitian memperlihatkan partisipasi warga Ema dalam karnaval dan festival hadrat di Batu Merah, serta kehadiran warga ketiga negeri bersama-sama dalam kegiatan budaya. Pemberitaan media mencatat bahwa warga Passo dan Ema turut membantu renovasi dan perawatan Masjid An-Nur Batu Merah, sehingga masjid itu dikenal sebagai simbol hubungan pela dan gandong (Kompas TV, 2020).</w:t>
      </w:r>
    </w:p>
    <w:p w14:paraId="31F0FBC7"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Makna transendental menurut warga</w:t>
      </w:r>
    </w:p>
    <w:p w14:paraId="04F7D704"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Para informan memaknai pela dan gandong dalam dua tatanan yang berjalan bersamaan. Tatanan pertama adalah tatanan adat, yang berfungsi sebagai penghubung moral dan nilai kebersamaan antarnegeri. Tatanan kedua adalah tatanan keagamaan, yang menjadi sumber kekuatan spiritual bagi masing-masing negeri sesuai dengan iman yang dianutnya. Dengan demikian, makna transendental dari pela tidak diseragamkan, melainkan dipahami dan dihayati menurut keyakinan setiap komunitas.</w:t>
      </w:r>
    </w:p>
    <w:p w14:paraId="3300602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Tokoh agama Negeri Ema merumuskan makna gandong sebagai dua bentuk kesadaran tanggung jawab. Kesadaran pertama bersifat horizontal, yaitu tanggung jawab kemanusiaan terhadap sesama manusia. Kesadaran kedua bersifat vertikal, yaitu tanggung jawab sebagai </w:t>
      </w:r>
      <w:r>
        <w:rPr>
          <w:rFonts w:ascii="Times New Roman" w:eastAsia="Times New Roman" w:hAnsi="Times New Roman" w:cs="Times New Roman"/>
          <w:color w:val="000000"/>
        </w:rPr>
        <w:lastRenderedPageBreak/>
        <w:t>makhluk kepada Tuhan yang disembah sebagai pencipta. Pemahaman ini juga ditemukan di kalangan warga Batu Merah, yang tidak memaknai ikatan gandong secara berbeda dari saudara mereka di Ema.</w:t>
      </w:r>
    </w:p>
    <w:p w14:paraId="3074F495"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Batas pemahaman: persaudaraan yang dibatasi sejarah</w:t>
      </w:r>
    </w:p>
    <w:p w14:paraId="11D7D81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Penelitian ini juga menemukan kecenderungan yang bertolak belakang dengan kekuatan di atas. Banyak warga memahami pela dan gandong sebatas ikatan sejarah. Persaudaraan dirasakan hanya terhadap negeri yang memiliki ikatan perjanjian atau pertalian darah, sementara terhadap negeri lain kewajiban itu tidak dirasakan dengan kuat. Pemahaman semacam ini mempersempit makna semboyan “ale rasa beta rasa” menjadi ikatan yang eksklusif.</w:t>
      </w:r>
    </w:p>
    <w:p w14:paraId="208A9E2A"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Batas ini tampak dalam berbagai konflik antarnegeri di Maluku. Bentrokan Ori–Kariuw di Pulau Haruku pada Januari 2022, misalnya, terjadi antara komunitas yang bertetangga. Menariknya, warga Kariuw yang mengungsi kemudian ditampung di Negeri Aboru (Antara, 2022), yang merupakan saudara gandong Kariu dalam ikatan BAKH (Tubaka, 2021). Peristiwa ini memperlihatkan dua wajah sekaligus: persaudaraan gandong bekerja kuat di dalam ikatan, tetapi tidak mampu mencegah kekerasan di luar ikatan.</w:t>
      </w:r>
    </w:p>
    <w:p w14:paraId="00E26BA2" w14:textId="77777777" w:rsidR="00F41463" w:rsidRDefault="00000000">
      <w:pPr>
        <w:spacing w:before="120" w:after="120" w:line="276"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Tabel 1. Ringkasan temuan relasi antarnegeri</w:t>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0"/>
        <w:gridCol w:w="3000"/>
        <w:gridCol w:w="3872"/>
      </w:tblGrid>
      <w:tr w:rsidR="00F41463" w14:paraId="68B6D247" w14:textId="77777777">
        <w:tc>
          <w:tcPr>
            <w:tcW w:w="2200" w:type="dxa"/>
          </w:tcPr>
          <w:p w14:paraId="0947C613"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Aspek</w:t>
            </w:r>
          </w:p>
        </w:tc>
        <w:tc>
          <w:tcPr>
            <w:tcW w:w="3000" w:type="dxa"/>
          </w:tcPr>
          <w:p w14:paraId="21867E6D"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Pela Batu Merah–Passo</w:t>
            </w:r>
          </w:p>
        </w:tc>
        <w:tc>
          <w:tcPr>
            <w:tcW w:w="3872" w:type="dxa"/>
          </w:tcPr>
          <w:p w14:paraId="3FACF16E"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Gandong Batu Merah–Ema</w:t>
            </w:r>
          </w:p>
        </w:tc>
      </w:tr>
      <w:tr w:rsidR="00F41463" w14:paraId="37209A4D" w14:textId="77777777">
        <w:tc>
          <w:tcPr>
            <w:tcW w:w="2200" w:type="dxa"/>
          </w:tcPr>
          <w:p w14:paraId="48ADD0B3"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Dasar ikatan</w:t>
            </w:r>
          </w:p>
        </w:tc>
        <w:tc>
          <w:tcPr>
            <w:tcW w:w="3000" w:type="dxa"/>
          </w:tcPr>
          <w:p w14:paraId="4F2C33E0"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Sumpah adat (pela keras)</w:t>
            </w:r>
          </w:p>
        </w:tc>
        <w:tc>
          <w:tcPr>
            <w:tcW w:w="3872" w:type="dxa"/>
          </w:tcPr>
          <w:p w14:paraId="6DCEF1D6"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Keyakinan akan asal-usul yang sama</w:t>
            </w:r>
          </w:p>
        </w:tc>
      </w:tr>
      <w:tr w:rsidR="00F41463" w14:paraId="31819798" w14:textId="77777777">
        <w:tc>
          <w:tcPr>
            <w:tcW w:w="2200" w:type="dxa"/>
          </w:tcPr>
          <w:p w14:paraId="78CC43AD"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Agama</w:t>
            </w:r>
          </w:p>
        </w:tc>
        <w:tc>
          <w:tcPr>
            <w:tcW w:w="3000" w:type="dxa"/>
          </w:tcPr>
          <w:p w14:paraId="4F4D3D88"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Islam–Kristen</w:t>
            </w:r>
          </w:p>
        </w:tc>
        <w:tc>
          <w:tcPr>
            <w:tcW w:w="3872" w:type="dxa"/>
          </w:tcPr>
          <w:p w14:paraId="613E63A5"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Islam–Kristen</w:t>
            </w:r>
          </w:p>
        </w:tc>
      </w:tr>
      <w:tr w:rsidR="00F41463" w14:paraId="145CF028" w14:textId="77777777">
        <w:tc>
          <w:tcPr>
            <w:tcW w:w="2200" w:type="dxa"/>
          </w:tcPr>
          <w:p w14:paraId="53A17636"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Praktik yang teramati</w:t>
            </w:r>
          </w:p>
        </w:tc>
        <w:tc>
          <w:tcPr>
            <w:tcW w:w="3000" w:type="dxa"/>
          </w:tcPr>
          <w:p w14:paraId="7440E735"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Pengamanan pawai Idul Fitri, tarian dalam karnaval, dukungan festival hadrat</w:t>
            </w:r>
          </w:p>
        </w:tc>
        <w:tc>
          <w:tcPr>
            <w:tcW w:w="3872" w:type="dxa"/>
          </w:tcPr>
          <w:p w14:paraId="78F2C42D"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Partisipasi dalam karnaval dan festival hadrat, bantuan perawatan masjid</w:t>
            </w:r>
          </w:p>
        </w:tc>
      </w:tr>
      <w:tr w:rsidR="00F41463" w14:paraId="251E7335" w14:textId="77777777">
        <w:tc>
          <w:tcPr>
            <w:tcW w:w="2200" w:type="dxa"/>
          </w:tcPr>
          <w:p w14:paraId="4C75E11B"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Pemaknaan warga</w:t>
            </w:r>
          </w:p>
        </w:tc>
        <w:tc>
          <w:tcPr>
            <w:tcW w:w="3000" w:type="dxa"/>
          </w:tcPr>
          <w:p w14:paraId="6149B9F3"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Penghubung moral dalam urusan budaya dan kemanusiaan</w:t>
            </w:r>
          </w:p>
        </w:tc>
        <w:tc>
          <w:tcPr>
            <w:tcW w:w="3872" w:type="dxa"/>
          </w:tcPr>
          <w:p w14:paraId="646F83C1"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Tanggung jawab horizontal kepada sesama dan vertikal kepada Tuhan</w:t>
            </w:r>
          </w:p>
        </w:tc>
      </w:tr>
    </w:tbl>
    <w:p w14:paraId="1C3687E8" w14:textId="77777777" w:rsidR="00F41463" w:rsidRDefault="00F41463">
      <w:pPr>
        <w:spacing w:before="120" w:after="120" w:line="276" w:lineRule="auto"/>
        <w:ind w:firstLine="567"/>
        <w:jc w:val="both"/>
        <w:rPr>
          <w:rFonts w:ascii="Times New Roman" w:eastAsia="Times New Roman" w:hAnsi="Times New Roman" w:cs="Times New Roman"/>
          <w:color w:val="000000"/>
        </w:rPr>
      </w:pPr>
    </w:p>
    <w:p w14:paraId="730885FA"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Pembahasan</w:t>
      </w:r>
    </w:p>
    <w:p w14:paraId="2908B897"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Dua lapis makna: historis dan etis</w:t>
      </w:r>
    </w:p>
    <w:p w14:paraId="4E9E3A91"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Temuan di atas memperlihatkan bahwa pela dan gandong memiliki dua lapis makna. Lapis pertama adalah lapis historis: ikatan yang lahir dari peristiwa tertentu atau dari keyakinan akan asal-usul bersama. Lapis ini bersifat partikular, karena hanya berlaku bagi negeri-negeri yang terlibat dalam peristiwa atau garis keturunan itu. Lapis kedua adalah lapis etis: prinsip moral yang terkandung dalam semboyan “ale rasa beta rasa”. Lapis ini bersifat universal, karena isinya, yaitu turut merasakan penderitaan orang lain, tidak bergantung pada sejarah tertentu.</w:t>
      </w:r>
    </w:p>
    <w:p w14:paraId="2739B1FB"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Masalah yang ditemukan dalam penelitian ini muncul ketika lapis etis direduksi menjadi lapis historis. Ketika persaudaraan hanya dirasakan terhadap mereka yang terikat sejarah, prinsip universal berubah menjadi etika kelompok. Dalam bahasa Buber (1970), relasi dengan negeri yang tidak terikat pela bergeser dari relasi Aku-Engkau menjadi relasi Aku-Itu: mereka tidak lagi dijumpai sebagai saudara, melainkan sebagai pihak luar.</w:t>
      </w:r>
    </w:p>
    <w:p w14:paraId="6B6DB3D6"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Pembedaan dua lapis ini penting karena memungkinkan sikap yang adil terhadap tradisi. Lapis historis tidak perlu dihapus; ia adalah memori bersama yang memberi identitas dan rasa memiliki. Namun, lapis etis perlu diangkat agar tidak terkurung dalam lapis historis. Transendensi budaya pela dan gandong, dalam pengertian ini, adalah gerak dari yang partikular menuju yang universal, tanpa meninggalkan yang partikular.</w:t>
      </w:r>
    </w:p>
    <w:p w14:paraId="6A9907C9"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Humanisasi: “ale rasa beta rasa” sebagai prinsip etis</w:t>
      </w:r>
    </w:p>
    <w:p w14:paraId="0BCC8B5B"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Dalam kerangka Kuntowijoyo (2006), humanisasi berarti memanusiakan manusia, yakni memulihkan penghargaan terhadap martabat sesama. Praktik pela dan gandong yang ditemukan dalam penelitian ini merupakan wujud konkret humanisasi. Ketika warga Passo mengamankan pawai Idul Fitri atau warga Ema membantu merawat masjid, mereka tidak sekadar menjalankan kewajiban adat. Mereka mengakui saudara Muslimnya sebagai pribadi yang ibadahnya layak dihormati dan dijaga.</w:t>
      </w:r>
    </w:p>
    <w:p w14:paraId="410AD3A9"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Semboyan “ale rasa beta rasa” dapat dibaca melalui gagasan Ricoeur (1992) tentang diri sebagai orang lain. Ungkapan ini menyatakan bahwa rasa diri tidak terpisah dari rasa orang lain. Diri menemukan dirinya justru dalam kepedulian terhadap sesama. Ungkapan “potong di kuku rasa di daging” memperkuat makna itu: luka pada sesama adalah luka pada diri sendiri, karena keduanya adalah bagian dari satu tubuh. Inilah inti humanisasi dalam tradisi Maluku.</w:t>
      </w:r>
    </w:p>
    <w:p w14:paraId="5766DDAC"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Levinas (1969) memberi dimensi yang lebih radikal. Bagi Levinas, tanggung jawab kepada orang lain tidak lahir dari kesepakatan atau kesamaan, tetapi dari kehadiran wajah orang lain itu sendiri. Bila prinsip ini diterapkan, maka tanggung jawab yang terkandung dalam “ale rasa beta rasa” tidak dapat dibatasi hanya kepada saudara pela atau gandong. Setiap manusia yang menderita menghadirkan tuntutan etis yang sama, apa pun negeri dan agamanya.</w:t>
      </w:r>
    </w:p>
    <w:p w14:paraId="2053032D"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Liberasi: membebaskan persaudaraan dari sekat sejarah</w:t>
      </w:r>
    </w:p>
    <w:p w14:paraId="2BAD9A35"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Pilar kedua, liberasi, berarti membebaskan manusia dari struktur yang menindas atau membelenggu (Kuntowijoyo, 1991). Dalam konteks penelitian ini, yang perlu dibebaskan bukan hanya manusia, tetapi juga makna persaudaraan itu sendiri. Pemahaman pela dan gandong yang terbatas pada ikatan sejarah merupakan sebuah belenggu, karena ia membatasi jangkauan nilai yang sesungguhnya universal.</w:t>
      </w:r>
    </w:p>
    <w:p w14:paraId="3E01BA52"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Belenggu ini memiliki akibat nyata. Konflik antarnegeri yang tidak terikat pela, seperti dalam kasus Ori–Kariuw, menunjukkan bahwa ketiadaan ikatan sejarah dapat membuat komunitas yang bertetangga kehilangan rem moral ketika terjadi perselisihan. Pada saat yang sama, perlindungan yang diberikan Aboru kepada pengungsi Kariuw menunjukkan bahwa persaudaraan gandong tetap bekerja dengan kuat di dalam ikatan (Tubaka, 2021). Pelajaran dari kedua sisi ini jelas: kekuatan persaudaraan perlu diperluas, bukan diganti.</w:t>
      </w:r>
    </w:p>
    <w:p w14:paraId="6355B82C"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Liberasi juga berarti membebaskan tradisi dari kemungkinan dimanfaatkan secara sempit. Malatuny dan Ritiauw (2018) mencatat bahwa generasi muda Maluku banyak yang tidak lagi memahami makna pela gandong secara mendalam. Bila tradisi hanya diwariskan sebagai seremoni dan memori sejarah, ia mudah kehilangan daya etisnya. Sebaliknya, bila tradisi diwariskan sebagai prinsip moral, ia dapat menjadi landasan bagi relasi dengan siapa pun, termasuk dengan komunitas di luar ikatan adat.</w:t>
      </w:r>
    </w:p>
    <w:p w14:paraId="6A876EC3"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lastRenderedPageBreak/>
        <w:t>Transendensi: dua arah tanggung jawab dan pluralitas iman</w:t>
      </w:r>
    </w:p>
    <w:p w14:paraId="68B11590"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Pilar ketiga, transendensi, menempatkan seluruh upaya kemanusiaan dalam kesadaran akan Tuhan. Temuan penelitian ini menunjukkan bahwa warga sendiri telah merumuskan dimensi ini dengan jelas melalui konsep tanggung jawab ganda: horizontal kepada sesama dan vertikal kepada Tuhan. Rumusan ini sejalan dengan gagasan Kuntowijoyo bahwa humanisasi dan liberasi harus berakar pada transendensi agar tidak kehilangan arah.</w:t>
      </w:r>
    </w:p>
    <w:p w14:paraId="6C9536A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Yang menarik, transendensi dalam pela dan gandong bersifat plural. Warga Batu Merah menghayati tanggung jawab vertikal itu sebagai Muslim, sedangkan warga Passo dan Ema menghayatinya sebagai Kristen. Tidak ada upaya menyatukan keyakinan; yang dipersatukan adalah komitmen etis yang lahir dari masing-masing iman. Inilah yang membedakan pela dan gandong dari sinkretisme. Persaudaraan tidak dibangun dengan mengaburkan perbedaan teologis, melainkan dengan menemukan titik temu etis di atas perbedaan itu.</w:t>
      </w:r>
    </w:p>
    <w:p w14:paraId="335DF8B0"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Pola ini sejalan dengan gagasan etika global Küng (1991), yang mencari titik temu moral di antara agama-agama tanpa menuntut keseragaman keyakinan. Ia juga sejalan dengan temuan Hehanussa (2009) bahwa pela dan gandong menawarkan model kehidupan bersama dalam pluralisme agama. Dari sudut pengalaman religius, Otto (1923) menunjukkan bahwa perjumpaan dengan Yang Kudus mendorong manusia keluar dari kepentingan dirinya. Dalam konteks ini, kesadaran akan Tuhan justru menjadi sumber dorongan untuk melampaui batas kelompok sendiri.</w:t>
      </w:r>
    </w:p>
    <w:p w14:paraId="371A39F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Transendensi dalam pengertian ini juga berarti melampaui ego kelompok. Konflik antarnegeri sering lahir dari kepentingan kelompok yang sempit, seperti sengketa lahan atau persaingan identitas. Kesadaran bahwa setiap manusia bertanggung jawab kepada Tuhan atas perlakuannya terhadap sesama dapat menjadi rem moral yang melampaui kepentingan kelompok. Inilah sumbangan khas dimensi vertikal dalam persaudaraan: ia memberi alasan untuk berbuat baik bahkan ketika kepentingan kelompok tidak menuntutnya.</w:t>
      </w:r>
    </w:p>
    <w:p w14:paraId="042DFA18"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Metafora tubuh: dari saudara sedarah ke kemanusiaan</w:t>
      </w:r>
    </w:p>
    <w:p w14:paraId="72E023E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Ungkapan “potong di kuku rasa di daging” menggunakan metafora tubuh untuk menggambarkan persaudaraan. Kuku dan daging adalah bagian dari tubuh yang sama, sehingga luka pada satu bagian dirasakan oleh bagian lain. Dalam gandong, metafora ini sangat tepat karena gandong dipahami sebagai persaudaraan yang berasal dari satu keturunan, seakan-akan satu tubuh yang terpisah di berbagai negeri.</w:t>
      </w:r>
    </w:p>
    <w:p w14:paraId="1BCDAC02"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Metafora tubuh juga dikenal dalam tradisi Islam. Sebuah hadis yang masyhur menggambarkan orang-orang beriman dalam kasih sayang dan kepedulian mereka seperti satu tubuh: bila satu bagian sakit, seluruh tubuh turut merasakannya (HR. al-Bukhari dan Muslim). Para ulama memahami hadis ini sebagai gambaran solidaritas di antara orang beriman. Namun, bila dibaca bersama QS. al-Hujurat [49]: 13 yang menegaskan asal-usul bersama seluruh manusia, metafora tubuh dapat diperluas menjadi gambaran tentang kemanusiaan sebagai satu keluarga besar.</w:t>
      </w:r>
    </w:p>
    <w:p w14:paraId="3C4C9BF9"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Dengan demikian, metafora tubuh dalam pela dan gandong memiliki potensi transendental yang besar. Ia dapat bergerak dari tubuh keluarga sedarah, ke tubuh komunitas </w:t>
      </w:r>
      <w:r>
        <w:rPr>
          <w:rFonts w:ascii="Times New Roman" w:eastAsia="Times New Roman" w:hAnsi="Times New Roman" w:cs="Times New Roman"/>
          <w:color w:val="000000"/>
        </w:rPr>
        <w:lastRenderedPageBreak/>
        <w:t>negeri yang berpela, hingga ke tubuh kemanusiaan yang lebih luas. Gerak ini tidak menghapus kedekatan yang khusus dengan saudara pela atau gandong, tetapi menambahkan lingkaran kepedulian yang lebih luas di sekelilingnya.</w:t>
      </w:r>
    </w:p>
    <w:p w14:paraId="620871BA"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Persaudaraan sebagai memori dan sebagai proyek</w:t>
      </w:r>
    </w:p>
    <w:p w14:paraId="78FFD757"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Persaudaraan pela dan gandong umumnya dipahami sebagai memori, yaitu sesuatu yang diwarisi dari leluhur. Pemahaman ini penting, karena memori memberi kedalaman dan kesinambungan. Namun, persaudaraan juga dapat dipahami sebagai proyek, yaitu sesuatu yang terus dibangun di masa kini dan masa depan. Dalam pengertian kedua ini, persaudaraan tidak hanya diterima, tetapi juga diperjuangkan.</w:t>
      </w:r>
    </w:p>
    <w:p w14:paraId="09F51E9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Praktik yang ditemukan dalam penelitian ini memperlihatkan keduanya. Festival hadrat, karnaval, dan perawatan masjid bersama merupakan cara merawat memori sekaligus membangun persaudaraan baru di masa kini. Setiap generasi yang terlibat dalam kegiatan itu tidak hanya mengenang sejarah, tetapi juga menulis babak baru dari sejarah persaudaraan tersebut. Dalam kerangka Kuntowijoyo, persaudaraan sebagai proyek merupakan wujud liberasi: manusia tidak hanya menjadi pewaris pasif tradisi, tetapi juga pelaku aktif yang memperbarui maknanya.</w:t>
      </w:r>
    </w:p>
    <w:p w14:paraId="1BA3559C"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Dari kewajiban adat menuju kesadaran moral</w:t>
      </w:r>
    </w:p>
    <w:p w14:paraId="6417F179"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Temuan bahwa warga Ema dan Batu Merah memaknai gandong sebagai kesadaran akan hak dan kewajiban menunjukkan adanya pergeseran penting. Persaudaraan tidak lagi dijalankan semata-mata karena aturan adat yang diwariskan, tetapi karena dipahami sebagai tanggung jawab moral. Dalam istilah Ricoeur (1992), terdapat perbedaan antara moralitas sebagai norma yang mengikat dan etika sebagai tujuan hidup baik bersama orang lain. Pela dan gandong yang dijalankan karena takut melanggar sumpah adat berada pada level norma. Pela dan gandong yang dijalankan karena kesadaran akan nilai sesama berada pada level etika.</w:t>
      </w:r>
    </w:p>
    <w:p w14:paraId="0597AAD1"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Pergeseran dari norma menuju etika inilah yang membuka kemungkinan transendensi. Norma adat hanya berlaku bagi mereka yang terikat oleh sumpah. Sebaliknya, etika yang lahir dari kesadaran akan martabat sesama dapat diperluas kepada siapa pun. Dengan demikian, kunci untuk membebaskan persaudaraan dari sekat sejarah terletak pada penguatan kesadaran etis, bukan pada perluasan sumpah adat ke semua negeri.</w:t>
      </w:r>
    </w:p>
    <w:p w14:paraId="2680D112"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Hal ini tidak berarti bahwa sanksi adat kehilangan perannya. Dalam masyarakat yang kuat tradisinya, sanksi adat tetap berfungsi menjaga keteraturan. Namun, sanksi adat yang tidak disertai kesadaran etis cenderung melahirkan kepatuhan yang rapuh. Kepatuhan semacam ini mudah runtuh ketika situasi berubah, misalnya ketika muncul provokasi dari luar atau ketika kepentingan ekonomi bertabrakan. Kesadaran etis yang berakar pada iman memberi kekuatan tambahan yang tidak bergantung pada pengawasan sosial semata.</w:t>
      </w:r>
    </w:p>
    <w:p w14:paraId="36E15B6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Dengan kata lain, transendensi memberi pela dan gandong sebuah dasar yang lebih dalam dari sekadar sanksi. Ketika seorang warga menahan diri dari kekerasan bukan karena takut melanggar sumpah adat, tetapi karena sadar bahwa setiap manusia adalah ciptaan Tuhan yang harus dihormati, persaudaraan telah mencapai tingkat kesadaran yang paling kokoh.</w:t>
      </w:r>
    </w:p>
    <w:p w14:paraId="7E7C83A3"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Perjumpaan Aku-Engkau dalam perayaan bersama</w:t>
      </w:r>
    </w:p>
    <w:p w14:paraId="09D302C6"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Praktik saling terlibat dalam perayaan keagamaan merupakan bentuk perjumpaan yang khas. Ketika warga Kristen Passo dan Ema hadir dalam festival hadrat di Batu Merah, mereka tidak ikut beribadah, tetapi hadir untuk menghormati dan mendukung saudara mereka. Kehadiran ini menunjukkan relasi Aku-Engkau dalam pengertian Buber (1970): orang lain dijumpai dalam keutuhannya, termasuk dalam keyakinannya yang berbeda, tanpa upaya untuk mengubah atau menyamakannya.</w:t>
      </w:r>
    </w:p>
    <w:p w14:paraId="7F1E1176"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Perjumpaan semacam ini juga mencerminkan apa yang oleh Tubaka (2021) disebut sebagai konstruksi budaya damai melalui keterlibatan bersama dalam ruang-ruang keagamaan. Rumah ibadah dan perayaan keagamaan, yang dalam konflik sering menjadi simbol pemisah, justru menjadi ruang perjumpaan. Dalam kerangka humanisme profetik, inilah wujud humanisasi yang paling konkret: identitas keagamaan orang lain diakui dan dihormati sebagai bagian dari martabatnya.</w:t>
      </w:r>
    </w:p>
    <w:p w14:paraId="3F90CA29"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Menghindari romantisasi tradisi</w:t>
      </w:r>
    </w:p>
    <w:p w14:paraId="30A86F1F"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Kajian filosofis tentang tradisi juga perlu waspada terhadap romantisasi. Pela dan gandong bukanlah jaminan otomatis bagi perdamaian. Konflik 1999–2002 memperlihatkan bahwa di banyak tempat, ikatan adat tidak mampu membendung mobilisasi kekerasan berbasis identitas agama (Rahawarin, 2013; Bräuchler, 2015). Malatuny dan Ritiauw (2018) juga mencatat melemahnya pemahaman generasi muda tentang tradisi ini.</w:t>
      </w:r>
    </w:p>
    <w:p w14:paraId="48BBC52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Pengakuan atas keterbatasan ini justru memperkuat argumen artikel ini. Bila pela dan gandong hanya dipahami sebagai ikatan historis, kekuatannya akan bergantung pada seberapa kuat memori sejarah itu dipelihara. Ketika memori melemah atau ketika konflik melibatkan komunitas di luar ikatan, tradisi kehilangan daya. Sebaliknya, bila lapis etis tradisi diangkat dan diakarkan pada iman, ia memiliki sumber kekuatan yang tidak sepenuhnya bergantung pada memori sejarah.</w:t>
      </w:r>
    </w:p>
    <w:p w14:paraId="6686B77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Pembacaan ini juga menghindarkan dari dua sikap yang sama-sama keliru. Sikap pertama mengagungkan pela dan gandong seakan-akan tradisi ini telah sempurna dan cukup untuk menjamin perdamaian. Sikap kedua meremehkan tradisi ini karena dianggap gagal mencegah konflik. Pembedaan antara lapis historis dan lapis etis memungkinkan sikap ketiga: menghargai tradisi sebagai sumber nilai yang berharga, sambil terus mengembangkan potensi etisnya agar mampu menjawab tantangan masa kini.</w:t>
      </w:r>
    </w:p>
    <w:p w14:paraId="593A2634"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Persaudaraan lintas iman dalam perspektif Islam</w:t>
      </w:r>
    </w:p>
    <w:p w14:paraId="26D8730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Bagi warga Muslim Batu Merah, persaudaraan dengan Passo dan Ema memiliki dasar yang kuat dalam ajaran Islam. QS. al-Hujurat [49]: 13 menegaskan bahwa keragaman bangsa dan suku diciptakan agar manusia saling mengenal, dan bahwa kemuliaan di sisi Allah diukur dengan ketakwaan, bukan asal-usul. Ayat ini sekaligus memberi kritik terhadap persaudaraan yang dibatasi garis keturunan: ukuran kemuliaan bukanlah darah, melainkan takwa.</w:t>
      </w:r>
    </w:p>
    <w:p w14:paraId="58C1C116"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QS. al-Mumtahanah [60]: 8 membuka ruang untuk berbuat baik dan berlaku adil kepada pemeluk agama lain yang tidak memusuhi. Praktik saling menjaga perayaan keagamaan dan membantu merawat rumah ibadah merupakan wujud kebaikan semacam itu. QS. al-Ma’idah [5]: 48 mengajak umat manusia berlomba dalam kebaikan di tengah perbedaan syariat. Dalam </w:t>
      </w:r>
      <w:r>
        <w:rPr>
          <w:rFonts w:ascii="Times New Roman" w:eastAsia="Times New Roman" w:hAnsi="Times New Roman" w:cs="Times New Roman"/>
          <w:color w:val="000000"/>
        </w:rPr>
        <w:lastRenderedPageBreak/>
        <w:t>kerangka ini, pela dan gandong dapat dipahami sebagai ruang tempat umat berbeda agama berlomba dalam kebajikan untuk kebaikan bersama (Yakin, 2016).</w:t>
      </w:r>
    </w:p>
    <w:p w14:paraId="1C19584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Madjid (1992) menekankan bahwa tauhid melahirkan pandangan egaliter tentang manusia, karena semua manusia setara di hadapan Tuhan. Wahid (2006) menegaskan bahwa keislaman yang matang tampak dalam kemampuan menghargai dan melindungi sesama, termasuk yang berbeda agama. Syari’ati (1996) mengingatkan bahwa manusia dalam Islam adalah wakil Tuhan yang memikul tanggung jawab moral atas dunia. Ketiga gagasan ini menunjukkan bahwa perluasan persaudaraan dari ikatan sejarah menuju kemanusiaan universal bukanlah gagasan asing bagi Islam, melainkan bagian dari inti ajarannya.</w:t>
      </w:r>
    </w:p>
    <w:p w14:paraId="135BD211"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Perspektif ini juga memberi kritik terhadap pemahaman sempit tentang persaudaraan dalam Islam sendiri. Persaudaraan sering dipahami hanya sebagai </w:t>
      </w:r>
      <w:r>
        <w:rPr>
          <w:rFonts w:ascii="Times New Roman" w:eastAsia="Times New Roman" w:hAnsi="Times New Roman" w:cs="Times New Roman"/>
          <w:i/>
          <w:color w:val="000000"/>
        </w:rPr>
        <w:t>ukhuwah islamiyah</w:t>
      </w:r>
      <w:r>
        <w:rPr>
          <w:rFonts w:ascii="Times New Roman" w:eastAsia="Times New Roman" w:hAnsi="Times New Roman" w:cs="Times New Roman"/>
          <w:color w:val="000000"/>
        </w:rPr>
        <w:t>, yaitu persaudaraan sesama Muslim. Padahal, khazanah pemikiran Islam juga mengenal persaudaraan sesama warga (</w:t>
      </w:r>
      <w:r>
        <w:rPr>
          <w:rFonts w:ascii="Times New Roman" w:eastAsia="Times New Roman" w:hAnsi="Times New Roman" w:cs="Times New Roman"/>
          <w:i/>
          <w:color w:val="000000"/>
        </w:rPr>
        <w:t>ukhuwah wathaniyah</w:t>
      </w:r>
      <w:r>
        <w:rPr>
          <w:rFonts w:ascii="Times New Roman" w:eastAsia="Times New Roman" w:hAnsi="Times New Roman" w:cs="Times New Roman"/>
          <w:color w:val="000000"/>
        </w:rPr>
        <w:t>) dan persaudaraan sesama manusia (</w:t>
      </w:r>
      <w:r>
        <w:rPr>
          <w:rFonts w:ascii="Times New Roman" w:eastAsia="Times New Roman" w:hAnsi="Times New Roman" w:cs="Times New Roman"/>
          <w:i/>
          <w:color w:val="000000"/>
        </w:rPr>
        <w:t>ukhuwah basyariyah</w:t>
      </w:r>
      <w:r>
        <w:rPr>
          <w:rFonts w:ascii="Times New Roman" w:eastAsia="Times New Roman" w:hAnsi="Times New Roman" w:cs="Times New Roman"/>
          <w:color w:val="000000"/>
        </w:rPr>
        <w:t>). Pela dan gandong dapat dibaca sebagai ekspresi lokal dari kedua bentuk persaudaraan terakhir, yang memperluas jangkauan kepedulian melampaui batas komunitas agama.</w:t>
      </w:r>
    </w:p>
    <w:p w14:paraId="449693D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Sejarah Islam awal juga memberi teladan tentang persaudaraan lintas iman dalam satu tatanan sosial. Piagam Madinah yang disusun Nabi Muhammad menempatkan komunitas Muslim dan komunitas Yahudi Madinah dalam satu ikatan warga yang saling melindungi, dengan tetap menghormati agama masing-masing. Madjid (1992) memandang piagam ini sebagai model masyarakat majemuk yang dibangun di atas komitmen bersama. Pela dan gandong dapat dibaca sebagai padanan lokal dari semangat serupa: komunitas-komunitas berbeda agama terikat dalam komitmen saling melindungi tanpa harus melebur keyakinannya.</w:t>
      </w:r>
    </w:p>
    <w:p w14:paraId="5FB28BC0"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Model tiga lapis persaudaraan</w:t>
      </w:r>
    </w:p>
    <w:p w14:paraId="5FA82D20"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Berdasarkan analisis di atas, artikel ini menawarkan model tiga lapis untuk memahami dan merawat persaudaraan pela dan gandong, sebagaimana dirangkum dalam Tabel 2. Lapis pertama adalah ikatan sejarah, yang memberi identitas dan memori bersama. Lapis kedua adalah etika kemanusiaan, yang terkandung dalam semboyan “ale rasa beta rasa” dan berlaku bagi semua manusia. Lapis ketiga adalah transendensi plural, yang menjadikan iman masing-masing komunitas sebagai sumber komitmen etis.</w:t>
      </w:r>
    </w:p>
    <w:p w14:paraId="51D7FF70" w14:textId="77777777" w:rsidR="00F41463" w:rsidRDefault="00000000">
      <w:pPr>
        <w:spacing w:before="120" w:after="120" w:line="276"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Tabel 2. Model tiga lapis persaudaraan pela dan gandong</w:t>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0"/>
        <w:gridCol w:w="3000"/>
        <w:gridCol w:w="3872"/>
      </w:tblGrid>
      <w:tr w:rsidR="00F41463" w14:paraId="6197DEA5" w14:textId="77777777">
        <w:tc>
          <w:tcPr>
            <w:tcW w:w="2200" w:type="dxa"/>
          </w:tcPr>
          <w:p w14:paraId="666F4B38"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Lapis</w:t>
            </w:r>
          </w:p>
        </w:tc>
        <w:tc>
          <w:tcPr>
            <w:tcW w:w="3000" w:type="dxa"/>
          </w:tcPr>
          <w:p w14:paraId="56A593E3"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Isi</w:t>
            </w:r>
          </w:p>
        </w:tc>
        <w:tc>
          <w:tcPr>
            <w:tcW w:w="3872" w:type="dxa"/>
          </w:tcPr>
          <w:p w14:paraId="29273E90"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Pilar profetik yang relevan</w:t>
            </w:r>
          </w:p>
        </w:tc>
      </w:tr>
      <w:tr w:rsidR="00F41463" w14:paraId="42ACE0B6" w14:textId="77777777">
        <w:tc>
          <w:tcPr>
            <w:tcW w:w="2200" w:type="dxa"/>
          </w:tcPr>
          <w:p w14:paraId="1A4552F5"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Ikatan sejarah</w:t>
            </w:r>
          </w:p>
        </w:tc>
        <w:tc>
          <w:tcPr>
            <w:tcW w:w="3000" w:type="dxa"/>
          </w:tcPr>
          <w:p w14:paraId="708C53DF"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Sumpah pela, keyakinan akan asal-usul bersama, memori leluhur</w:t>
            </w:r>
          </w:p>
        </w:tc>
        <w:tc>
          <w:tcPr>
            <w:tcW w:w="3872" w:type="dxa"/>
          </w:tcPr>
          <w:p w14:paraId="527A8E2B"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Dasar identitas yang perlu dirawat</w:t>
            </w:r>
          </w:p>
        </w:tc>
      </w:tr>
      <w:tr w:rsidR="00F41463" w14:paraId="55A95037" w14:textId="77777777">
        <w:tc>
          <w:tcPr>
            <w:tcW w:w="2200" w:type="dxa"/>
          </w:tcPr>
          <w:p w14:paraId="7D357ED4"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Etika kemanusiaan</w:t>
            </w:r>
          </w:p>
        </w:tc>
        <w:tc>
          <w:tcPr>
            <w:tcW w:w="3000" w:type="dxa"/>
          </w:tcPr>
          <w:p w14:paraId="084F8D9F"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“Ale rasa beta rasa”, tanggung jawab kepada sesama tanpa batas negeri</w:t>
            </w:r>
          </w:p>
        </w:tc>
        <w:tc>
          <w:tcPr>
            <w:tcW w:w="3872" w:type="dxa"/>
          </w:tcPr>
          <w:p w14:paraId="6EF8B0F3"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Humanisasi dan liberasi</w:t>
            </w:r>
          </w:p>
        </w:tc>
      </w:tr>
      <w:tr w:rsidR="00F41463" w14:paraId="426408F8" w14:textId="77777777">
        <w:tc>
          <w:tcPr>
            <w:tcW w:w="2200" w:type="dxa"/>
          </w:tcPr>
          <w:p w14:paraId="5B772439"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Transendensi plural</w:t>
            </w:r>
          </w:p>
        </w:tc>
        <w:tc>
          <w:tcPr>
            <w:tcW w:w="3000" w:type="dxa"/>
          </w:tcPr>
          <w:p w14:paraId="04B57B2C"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Tanggung jawab kepada Tuhan menurut iman masing-masing</w:t>
            </w:r>
          </w:p>
        </w:tc>
        <w:tc>
          <w:tcPr>
            <w:tcW w:w="3872" w:type="dxa"/>
          </w:tcPr>
          <w:p w14:paraId="41430001" w14:textId="77777777" w:rsidR="00F41463" w:rsidRDefault="00000000">
            <w:pPr>
              <w:spacing w:before="40" w:after="4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Transendensi</w:t>
            </w:r>
          </w:p>
        </w:tc>
      </w:tr>
    </w:tbl>
    <w:p w14:paraId="12B8ED6F" w14:textId="77777777" w:rsidR="00F41463" w:rsidRDefault="00F41463">
      <w:pPr>
        <w:spacing w:before="120" w:after="120" w:line="276" w:lineRule="auto"/>
        <w:ind w:firstLine="567"/>
        <w:jc w:val="both"/>
        <w:rPr>
          <w:rFonts w:ascii="Times New Roman" w:eastAsia="Times New Roman" w:hAnsi="Times New Roman" w:cs="Times New Roman"/>
          <w:color w:val="000000"/>
        </w:rPr>
      </w:pPr>
    </w:p>
    <w:p w14:paraId="5B797EE8"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Ketiga lapis ini saling menopang. Ikatan sejarah tanpa etika kemanusiaan cenderung menjadi eksklusif. Etika kemanusiaan tanpa ikatan sejarah berisiko menjadi abstrak dan kehilangan akar budaya. Etika kemanusiaan tanpa transendensi berisiko kehilangan dasar yang kokoh ketika diuji oleh kepentingan. Model ini menawarkan cara untuk merawat tradisi tanpa terkurung di dalamnya.</w:t>
      </w:r>
    </w:p>
    <w:p w14:paraId="5F068456"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Kebaruan kajian ini terletak pada dua hal. Pertama, pembedaan antara lapis historis dan lapis etis memungkinkan kritik terhadap pemahaman pela dan gandong yang eksklusif tanpa merendahkan tradisi itu sendiri. Kedua, kajian ini menunjukkan bahwa kerangka humanisme profetik Kuntowijoyo, yang lahir dari tafsir Al-Qur’an, dapat menjadi jembatan untuk membaca kearifan lokal yang dihayati bersama oleh komunitas Muslim dan Kristen.</w:t>
      </w:r>
    </w:p>
    <w:p w14:paraId="180FD354"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i/>
          <w:color w:val="000000"/>
        </w:rPr>
        <w:t>Implikasi bagi pendidikan perdamaian</w:t>
      </w:r>
    </w:p>
    <w:p w14:paraId="322AE933"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Temuan ini memiliki implikasi praktis bagi pendidikan perdamaian di Maluku. Pewarisan pela dan gandong kepada generasi muda perlu menekankan lapis etisnya, bukan hanya sejarah dan seremoninya. Kegiatan seperti panas pela, yaitu upacara pembaruan ikatan pela, dapat dilengkapi dengan refleksi tentang makna “ale rasa beta rasa” sebagai prinsip yang berlaku bagi semua manusia.</w:t>
      </w:r>
    </w:p>
    <w:p w14:paraId="33411F65"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Tokoh agama dari kedua komunitas juga memiliki peran penting. Dengan menghubungkan nilai persaudaraan adat dengan ajaran agama masing-masing, mereka dapat memperkuat lapis transendensi. Bagi komunitas Muslim, ayat-ayat tentang saling mengenal dan berlomba dalam kebaikan dapat menjadi landasan. Bagi komunitas Kristen, ajaran kasih kepada sesama dapat memainkan peran serupa. Dengan cara ini, persaudaraan tidak hanya diwariskan sebagai adat, tetapi dihayati sebagai panggilan iman.</w:t>
      </w:r>
    </w:p>
    <w:p w14:paraId="645E45AC"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Pemerintah daerah dan lembaga pendidikan juga dapat mengambil peran. Integrasi nilai pela dan gandong ke dalam kurikulum muatan lokal, misalnya, perlu menekankan bukan hanya pengetahuan tentang pasangan negeri yang berpela, tetapi juga pemahaman tentang prinsip etis yang mendasarinya. Dengan cara ini, generasi muda dapat menjadikan “ale rasa beta rasa” sebagai sikap hidup dalam relasi dengan siapa pun, termasuk dengan komunitas yang tidak memiliki ikatan adat dengan negerinya.</w:t>
      </w:r>
    </w:p>
    <w:p w14:paraId="0FA3CB7A"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Bagi kajian Aqidah dan Filsafat Islam, temuan ini membuka agenda penelitian yang menarik. Kearifan lokal seperti pela dan gandong dapat menjadi titik temu antara refleksi filosofis dan pengalaman hidup umat. Konsep-konsep seperti tauhid, kemanusiaan, dan tanggung jawab moral dapat diuji relevansinya melalui praktik nyata komunitas. Dengan cara ini, filsafat Islam tidak hanya menjadi wacana akademik, tetapi juga sumbangan bagi kehidupan bersama yang damai.</w:t>
      </w:r>
    </w:p>
    <w:p w14:paraId="19C1C1B1"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Kesimpulan</w:t>
      </w:r>
    </w:p>
    <w:p w14:paraId="393069E2"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Penelitian ini menunjukkan bahwa pela antara Batu Merah dan Passo serta gandong antara Batu Merah dan Ema merupakan persaudaraan lintas iman yang kokoh. Ikatan ini dihidupi melalui keterlibatan timbal balik dalam perayaan keagamaan dan perawatan rumah ibadah, serta dimaknai warganya sebagai tanggung jawab ganda: horizontal kepada sesama manusia dan vertikal kepada Tuhan menurut iman masing-masing.</w:t>
      </w:r>
    </w:p>
    <w:p w14:paraId="115AE0F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Temuan ini memperlihatkan bahwa warga sendiri telah memiliki pemahaman yang kaya tentang dimensi transendental persaudaraan. Rumusan tentang tanggung jawab horizontal dan vertikal menunjukkan bahwa adat dan agama tidak dipandang sebagai dua hal yang bertentangan, melainkan sebagai dua sumber nilai yang saling menguatkan.</w:t>
      </w:r>
    </w:p>
    <w:p w14:paraId="6676143D"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Namun, persaudaraan ini masih cenderung dipahami terbatas pada komunitas yang memiliki ikatan sejarah. Artikel ini berargumen bahwa pela dan gandong memiliki dua lapis makna, yaitu lapis historis yang partikular dan lapis etis yang universal. Melalui kerangka humanisme profetik Kuntowijoyo, transendensi budaya pela dan gandong dipahami sebagai gerak dari yang partikular menuju yang universal: humanisasi melalui pengakuan martabat sesama, liberasi melalui pembebasan persaudaraan dari sekat sejarah, dan transendensi melalui pengakaran etika itu pada iman masing-masing komunitas.</w:t>
      </w:r>
    </w:p>
    <w:p w14:paraId="5AF34931"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Kelebihan kerangka yang digunakan adalah kemampuannya memadukan analisis filosofis dengan pengalaman hidup komunitas, sehingga tradisi dapat dikritik sekaligus dihargai. Keterbatasan penelitian ini terletak pada jumlah informan yang terbatas dan cakupan lokasi yang hanya meliputi tiga negeri. Penelitian lanjutan perlu menguji model tiga lapis ini pada relasi pela dan gandong di wilayah lain, serta menelusuri bagaimana generasi muda memaknai persaudaraan lintas iman di tengah perubahan sosial yang cepat.</w:t>
      </w:r>
    </w:p>
    <w:p w14:paraId="424BBF42" w14:textId="77777777" w:rsidR="00F41463" w:rsidRDefault="00000000">
      <w:pPr>
        <w:spacing w:before="120" w:after="120" w:line="276"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Secara teoretis, kajian ini memperlihatkan bahwa humanisme profetik dapat menjadi kerangka yang produktif untuk membaca kearifan lokal lintas iman. Secara praktis, model tiga lapis yang ditawarkan dapat menjadi pegangan bagi tokoh adat, tokoh agama, dan pendidik dalam merawat persaudaraan pela dan gandong agar tetap relevan di tengah perubahan sosial.</w:t>
      </w:r>
    </w:p>
    <w:p w14:paraId="6EF51460" w14:textId="77777777" w:rsidR="00F41463" w:rsidRDefault="00000000">
      <w:pPr>
        <w:spacing w:before="120" w:after="12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Daftar Pustaka</w:t>
      </w:r>
    </w:p>
    <w:p w14:paraId="4B1B9911"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Antara. (2016, 12 September). BPNB: Festival hadrat wujud pelestarian nilai religi. </w:t>
      </w:r>
      <w:r>
        <w:rPr>
          <w:rFonts w:ascii="Times New Roman" w:eastAsia="Times New Roman" w:hAnsi="Times New Roman" w:cs="Times New Roman"/>
          <w:i/>
          <w:color w:val="000000"/>
        </w:rPr>
        <w:t>Antara News Ambon</w:t>
      </w:r>
      <w:r>
        <w:rPr>
          <w:rFonts w:ascii="Times New Roman" w:eastAsia="Times New Roman" w:hAnsi="Times New Roman" w:cs="Times New Roman"/>
          <w:color w:val="000000"/>
        </w:rPr>
        <w:t>. https://ambon.antaranews.com/berita/34995/bpnb-festival-hadrat-wujud-pelestarian-nilai-religi</w:t>
      </w:r>
    </w:p>
    <w:p w14:paraId="7CCBF41E"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Antara. (2022). Polda Maluku kirim tim psikologi tangani pemulihan trauma pengungsi Kariuw. </w:t>
      </w:r>
      <w:r>
        <w:rPr>
          <w:rFonts w:ascii="Times New Roman" w:eastAsia="Times New Roman" w:hAnsi="Times New Roman" w:cs="Times New Roman"/>
          <w:i/>
          <w:color w:val="000000"/>
        </w:rPr>
        <w:t>Antara News Ambon</w:t>
      </w:r>
      <w:r>
        <w:rPr>
          <w:rFonts w:ascii="Times New Roman" w:eastAsia="Times New Roman" w:hAnsi="Times New Roman" w:cs="Times New Roman"/>
          <w:color w:val="000000"/>
        </w:rPr>
        <w:t>. https://ambon.antaranews.com/berita/117145/polda-maluku-kirim-tim-psikologi-tangani-pemulihan-trauma-pengungsi-kariuw-begini-penjelasannya</w:t>
      </w:r>
    </w:p>
    <w:p w14:paraId="37612606"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Anwar, A., Pababbari, M., &amp; Ibrahim, M. (2023). Analisis paradigma ilmu sosial profetik: Telaah pemikiran Kuntowijoyo. </w:t>
      </w:r>
      <w:r>
        <w:rPr>
          <w:rFonts w:ascii="Times New Roman" w:eastAsia="Times New Roman" w:hAnsi="Times New Roman" w:cs="Times New Roman"/>
          <w:i/>
          <w:color w:val="000000"/>
        </w:rPr>
        <w:t>Shoutika: Jurnal Studi Komunikasi dan Dakwah, 3</w:t>
      </w:r>
      <w:r>
        <w:rPr>
          <w:rFonts w:ascii="Times New Roman" w:eastAsia="Times New Roman" w:hAnsi="Times New Roman" w:cs="Times New Roman"/>
          <w:color w:val="000000"/>
        </w:rPr>
        <w:t>(2), 23–45.</w:t>
      </w:r>
    </w:p>
    <w:p w14:paraId="24FC893A"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Bakri, H. (2015). Resolusi konflik melalui pendekatan kearifan lokal pela gandong di Kota Ambon. </w:t>
      </w:r>
      <w:r>
        <w:rPr>
          <w:rFonts w:ascii="Times New Roman" w:eastAsia="Times New Roman" w:hAnsi="Times New Roman" w:cs="Times New Roman"/>
          <w:i/>
          <w:color w:val="000000"/>
        </w:rPr>
        <w:t>The Politics: Jurnal Magister Ilmu Politik Universitas Hasanuddin, 1</w:t>
      </w:r>
      <w:r>
        <w:rPr>
          <w:rFonts w:ascii="Times New Roman" w:eastAsia="Times New Roman" w:hAnsi="Times New Roman" w:cs="Times New Roman"/>
          <w:color w:val="000000"/>
        </w:rPr>
        <w:t>(1).</w:t>
      </w:r>
    </w:p>
    <w:p w14:paraId="07292FC5"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Bartels, D. (2017). </w:t>
      </w:r>
      <w:r>
        <w:rPr>
          <w:rFonts w:ascii="Times New Roman" w:eastAsia="Times New Roman" w:hAnsi="Times New Roman" w:cs="Times New Roman"/>
          <w:i/>
          <w:color w:val="000000"/>
        </w:rPr>
        <w:t>Di bawah naungan Gunung Nunusaku: Muslim-Kristen hidup berdampingan di Maluku Tengah</w:t>
      </w:r>
      <w:r>
        <w:rPr>
          <w:rFonts w:ascii="Times New Roman" w:eastAsia="Times New Roman" w:hAnsi="Times New Roman" w:cs="Times New Roman"/>
          <w:color w:val="000000"/>
        </w:rPr>
        <w:t xml:space="preserve"> (Jilid I: Kebudayaan). Jakarta: Kepustakaan Populer Gramedia.</w:t>
      </w:r>
    </w:p>
    <w:p w14:paraId="521A46CC"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Bräuchler, B. (2015). </w:t>
      </w:r>
      <w:r>
        <w:rPr>
          <w:rFonts w:ascii="Times New Roman" w:eastAsia="Times New Roman" w:hAnsi="Times New Roman" w:cs="Times New Roman"/>
          <w:i/>
          <w:color w:val="000000"/>
        </w:rPr>
        <w:t>The cultural dimension of peace: Decentralization and reconciliation in Indonesia</w:t>
      </w:r>
      <w:r>
        <w:rPr>
          <w:rFonts w:ascii="Times New Roman" w:eastAsia="Times New Roman" w:hAnsi="Times New Roman" w:cs="Times New Roman"/>
          <w:color w:val="000000"/>
        </w:rPr>
        <w:t>. Basingstoke: Palgrave Macmillan.</w:t>
      </w:r>
    </w:p>
    <w:p w14:paraId="551ADCB8"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Buber, M. (1970). </w:t>
      </w:r>
      <w:r>
        <w:rPr>
          <w:rFonts w:ascii="Times New Roman" w:eastAsia="Times New Roman" w:hAnsi="Times New Roman" w:cs="Times New Roman"/>
          <w:i/>
          <w:color w:val="000000"/>
        </w:rPr>
        <w:t>I and Thou</w:t>
      </w:r>
      <w:r>
        <w:rPr>
          <w:rFonts w:ascii="Times New Roman" w:eastAsia="Times New Roman" w:hAnsi="Times New Roman" w:cs="Times New Roman"/>
          <w:color w:val="000000"/>
        </w:rPr>
        <w:t xml:space="preserve"> (W. Kaufmann, Penerj.). New York: Charles Scribner’s Sons.</w:t>
      </w:r>
    </w:p>
    <w:p w14:paraId="02926C2B"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Creswell, J. W. (1998). </w:t>
      </w:r>
      <w:r>
        <w:rPr>
          <w:rFonts w:ascii="Times New Roman" w:eastAsia="Times New Roman" w:hAnsi="Times New Roman" w:cs="Times New Roman"/>
          <w:i/>
          <w:color w:val="000000"/>
        </w:rPr>
        <w:t>Qualitative inquiry and research design: Choosing among five traditions</w:t>
      </w:r>
      <w:r>
        <w:rPr>
          <w:rFonts w:ascii="Times New Roman" w:eastAsia="Times New Roman" w:hAnsi="Times New Roman" w:cs="Times New Roman"/>
          <w:color w:val="000000"/>
        </w:rPr>
        <w:t>. Thousand Oaks: Sage.</w:t>
      </w:r>
    </w:p>
    <w:p w14:paraId="464C619F"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Hehanussa, J. (2009). Pela dan gandong: Sebuah model untuk kehidupan bersama dalam konteks pluralisme agama di Maluku. </w:t>
      </w:r>
      <w:r>
        <w:rPr>
          <w:rFonts w:ascii="Times New Roman" w:eastAsia="Times New Roman" w:hAnsi="Times New Roman" w:cs="Times New Roman"/>
          <w:i/>
          <w:color w:val="000000"/>
        </w:rPr>
        <w:t>Gema Teologi, 33</w:t>
      </w:r>
      <w:r>
        <w:rPr>
          <w:rFonts w:ascii="Times New Roman" w:eastAsia="Times New Roman" w:hAnsi="Times New Roman" w:cs="Times New Roman"/>
          <w:color w:val="000000"/>
        </w:rPr>
        <w:t>(1).</w:t>
      </w:r>
    </w:p>
    <w:p w14:paraId="7B49ECD9"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Hoedodo, T. S., Surjo, J., &amp; Qodir, Z. (2013). Local political conflict and pela gandong amidst the religious conflicts. </w:t>
      </w:r>
      <w:r>
        <w:rPr>
          <w:rFonts w:ascii="Times New Roman" w:eastAsia="Times New Roman" w:hAnsi="Times New Roman" w:cs="Times New Roman"/>
          <w:i/>
          <w:color w:val="000000"/>
        </w:rPr>
        <w:t>Jurnal Studi Pemerintahan, 4</w:t>
      </w:r>
      <w:r>
        <w:rPr>
          <w:rFonts w:ascii="Times New Roman" w:eastAsia="Times New Roman" w:hAnsi="Times New Roman" w:cs="Times New Roman"/>
          <w:color w:val="000000"/>
        </w:rPr>
        <w:t>(2).</w:t>
      </w:r>
    </w:p>
    <w:p w14:paraId="5E103ABD"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Jati, W. R. (2013). Kearifan lokal sebagai resolusi konflik keagamaan. </w:t>
      </w:r>
      <w:r>
        <w:rPr>
          <w:rFonts w:ascii="Times New Roman" w:eastAsia="Times New Roman" w:hAnsi="Times New Roman" w:cs="Times New Roman"/>
          <w:i/>
          <w:color w:val="000000"/>
        </w:rPr>
        <w:t>Walisongo: Jurnal Penelitian Sosial Keagamaan, 21</w:t>
      </w:r>
      <w:r>
        <w:rPr>
          <w:rFonts w:ascii="Times New Roman" w:eastAsia="Times New Roman" w:hAnsi="Times New Roman" w:cs="Times New Roman"/>
          <w:color w:val="000000"/>
        </w:rPr>
        <w:t>(2), 393–416. https://doi.org/10.21580/ws.21.2.251</w:t>
      </w:r>
    </w:p>
    <w:p w14:paraId="2FAA52E2"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Kompas TV. (2020, 29 April). Masjid An-Nur Batu Merah simbol toleransi di Ambon. https://www.kompas.tv/article/78547/masjid-an-nur-batu-merah-simbol-toleransi-di-ambon</w:t>
      </w:r>
    </w:p>
    <w:p w14:paraId="343A62FF"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Küng, H. (1991). </w:t>
      </w:r>
      <w:r>
        <w:rPr>
          <w:rFonts w:ascii="Times New Roman" w:eastAsia="Times New Roman" w:hAnsi="Times New Roman" w:cs="Times New Roman"/>
          <w:i/>
          <w:color w:val="000000"/>
        </w:rPr>
        <w:t>Global responsibility: In search of a new world ethic</w:t>
      </w:r>
      <w:r>
        <w:rPr>
          <w:rFonts w:ascii="Times New Roman" w:eastAsia="Times New Roman" w:hAnsi="Times New Roman" w:cs="Times New Roman"/>
          <w:color w:val="000000"/>
        </w:rPr>
        <w:t>. London: SCM Press.</w:t>
      </w:r>
    </w:p>
    <w:p w14:paraId="3EF4A1A2"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Kuntowijoyo. (1991). </w:t>
      </w:r>
      <w:r>
        <w:rPr>
          <w:rFonts w:ascii="Times New Roman" w:eastAsia="Times New Roman" w:hAnsi="Times New Roman" w:cs="Times New Roman"/>
          <w:i/>
          <w:color w:val="000000"/>
        </w:rPr>
        <w:t>Paradigma Islam: Interpretasi untuk aksi</w:t>
      </w:r>
      <w:r>
        <w:rPr>
          <w:rFonts w:ascii="Times New Roman" w:eastAsia="Times New Roman" w:hAnsi="Times New Roman" w:cs="Times New Roman"/>
          <w:color w:val="000000"/>
        </w:rPr>
        <w:t>. Bandung: Mizan.</w:t>
      </w:r>
    </w:p>
    <w:p w14:paraId="49E9AB41"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Kuntowijoyo. (2006). </w:t>
      </w:r>
      <w:r>
        <w:rPr>
          <w:rFonts w:ascii="Times New Roman" w:eastAsia="Times New Roman" w:hAnsi="Times New Roman" w:cs="Times New Roman"/>
          <w:i/>
          <w:color w:val="000000"/>
        </w:rPr>
        <w:t>Islam sebagai ilmu: Epistemologi, metodologi, dan etika</w:t>
      </w:r>
      <w:r>
        <w:rPr>
          <w:rFonts w:ascii="Times New Roman" w:eastAsia="Times New Roman" w:hAnsi="Times New Roman" w:cs="Times New Roman"/>
          <w:color w:val="000000"/>
        </w:rPr>
        <w:t>. Yogyakarta: Tiara Wacana.</w:t>
      </w:r>
    </w:p>
    <w:p w14:paraId="245BA991"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Levinas, E. (1969). </w:t>
      </w:r>
      <w:r>
        <w:rPr>
          <w:rFonts w:ascii="Times New Roman" w:eastAsia="Times New Roman" w:hAnsi="Times New Roman" w:cs="Times New Roman"/>
          <w:i/>
          <w:color w:val="000000"/>
        </w:rPr>
        <w:t>Totality and infinity: An essay on exteriority</w:t>
      </w:r>
      <w:r>
        <w:rPr>
          <w:rFonts w:ascii="Times New Roman" w:eastAsia="Times New Roman" w:hAnsi="Times New Roman" w:cs="Times New Roman"/>
          <w:color w:val="000000"/>
        </w:rPr>
        <w:t xml:space="preserve"> (A. Lingis, Penerj.). Pittsburgh: Duquesne University Press.</w:t>
      </w:r>
    </w:p>
    <w:p w14:paraId="6B84E80E"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Lopulalan, D. L. Y., Salakay, S., &amp; Harun, M. (2024). The synergy between Islam and the local culture of Maluku, Indonesia. </w:t>
      </w:r>
      <w:r>
        <w:rPr>
          <w:rFonts w:ascii="Times New Roman" w:eastAsia="Times New Roman" w:hAnsi="Times New Roman" w:cs="Times New Roman"/>
          <w:i/>
          <w:color w:val="000000"/>
        </w:rPr>
        <w:t>IBDA’: Jurnal Kajian Islam dan Budaya, 22</w:t>
      </w:r>
      <w:r>
        <w:rPr>
          <w:rFonts w:ascii="Times New Roman" w:eastAsia="Times New Roman" w:hAnsi="Times New Roman" w:cs="Times New Roman"/>
          <w:color w:val="000000"/>
        </w:rPr>
        <w:t>(1). https://doi.org/10.24090/ibda.v22i1.8422</w:t>
      </w:r>
    </w:p>
    <w:p w14:paraId="64C74CC2"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Madjid, N. (1992). </w:t>
      </w:r>
      <w:r>
        <w:rPr>
          <w:rFonts w:ascii="Times New Roman" w:eastAsia="Times New Roman" w:hAnsi="Times New Roman" w:cs="Times New Roman"/>
          <w:i/>
          <w:color w:val="000000"/>
        </w:rPr>
        <w:t>Islam doktrin dan peradaban</w:t>
      </w:r>
      <w:r>
        <w:rPr>
          <w:rFonts w:ascii="Times New Roman" w:eastAsia="Times New Roman" w:hAnsi="Times New Roman" w:cs="Times New Roman"/>
          <w:color w:val="000000"/>
        </w:rPr>
        <w:t>. Jakarta: Yayasan Wakaf Paramadina.</w:t>
      </w:r>
    </w:p>
    <w:p w14:paraId="4CD88910"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Malatuny, Y. G., &amp; Ritiauw, S. P. (2018). Eksistensi pela gandong sebagai civic culture dalam menjaga harmonisasi masyarakat di Maluku. </w:t>
      </w:r>
      <w:r>
        <w:rPr>
          <w:rFonts w:ascii="Times New Roman" w:eastAsia="Times New Roman" w:hAnsi="Times New Roman" w:cs="Times New Roman"/>
          <w:i/>
          <w:color w:val="000000"/>
        </w:rPr>
        <w:t>Sosio Didaktika: Social Science Education Journal, 5</w:t>
      </w:r>
      <w:r>
        <w:rPr>
          <w:rFonts w:ascii="Times New Roman" w:eastAsia="Times New Roman" w:hAnsi="Times New Roman" w:cs="Times New Roman"/>
          <w:color w:val="000000"/>
        </w:rPr>
        <w:t>(2), 35–46. https://doi.org/10.15408/sd.v5i2.10554</w:t>
      </w:r>
    </w:p>
    <w:p w14:paraId="2A0F1BCE"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Manuhutu, R., Purwiyastuti, W., &amp; Widiarto, T. (2017). Budaya pela gandong di Negeri Haria sebagai alat pemersatu dan perdamaian orang Maluku Tengah. </w:t>
      </w:r>
      <w:r>
        <w:rPr>
          <w:rFonts w:ascii="Times New Roman" w:eastAsia="Times New Roman" w:hAnsi="Times New Roman" w:cs="Times New Roman"/>
          <w:i/>
          <w:color w:val="000000"/>
        </w:rPr>
        <w:t>Widya Sari, 17</w:t>
      </w:r>
      <w:r>
        <w:rPr>
          <w:rFonts w:ascii="Times New Roman" w:eastAsia="Times New Roman" w:hAnsi="Times New Roman" w:cs="Times New Roman"/>
          <w:color w:val="000000"/>
        </w:rPr>
        <w:t>(2).</w:t>
      </w:r>
    </w:p>
    <w:p w14:paraId="20AA8461"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Moustakas, C. (1994). </w:t>
      </w:r>
      <w:r>
        <w:rPr>
          <w:rFonts w:ascii="Times New Roman" w:eastAsia="Times New Roman" w:hAnsi="Times New Roman" w:cs="Times New Roman"/>
          <w:i/>
          <w:color w:val="000000"/>
        </w:rPr>
        <w:t>Phenomenological research methods</w:t>
      </w:r>
      <w:r>
        <w:rPr>
          <w:rFonts w:ascii="Times New Roman" w:eastAsia="Times New Roman" w:hAnsi="Times New Roman" w:cs="Times New Roman"/>
          <w:color w:val="000000"/>
        </w:rPr>
        <w:t>. Thousand Oaks: Sage.</w:t>
      </w:r>
    </w:p>
    <w:p w14:paraId="48A54F36"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Otto, R. (1923). </w:t>
      </w:r>
      <w:r>
        <w:rPr>
          <w:rFonts w:ascii="Times New Roman" w:eastAsia="Times New Roman" w:hAnsi="Times New Roman" w:cs="Times New Roman"/>
          <w:i/>
          <w:color w:val="000000"/>
        </w:rPr>
        <w:t>The idea of the holy</w:t>
      </w:r>
      <w:r>
        <w:rPr>
          <w:rFonts w:ascii="Times New Roman" w:eastAsia="Times New Roman" w:hAnsi="Times New Roman" w:cs="Times New Roman"/>
          <w:color w:val="000000"/>
        </w:rPr>
        <w:t xml:space="preserve"> (J. W. Harvey, Penerj.). London: Oxford University Press.</w:t>
      </w:r>
    </w:p>
    <w:p w14:paraId="08DC9985"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Pattimahu, M. A., &amp; Tubaka, A. M. (2021). Integrasi agama dan budaya dalam ritual Hitirima masyarakat Negeri Pelauw Maluku Tengah. </w:t>
      </w:r>
      <w:r>
        <w:rPr>
          <w:rFonts w:ascii="Times New Roman" w:eastAsia="Times New Roman" w:hAnsi="Times New Roman" w:cs="Times New Roman"/>
          <w:i/>
          <w:color w:val="000000"/>
        </w:rPr>
        <w:t>Dialektika, 14</w:t>
      </w:r>
      <w:r>
        <w:rPr>
          <w:rFonts w:ascii="Times New Roman" w:eastAsia="Times New Roman" w:hAnsi="Times New Roman" w:cs="Times New Roman"/>
          <w:color w:val="000000"/>
        </w:rPr>
        <w:t>(2), 1–16. https://doi.org/10.33477/dj.v14i2.2563</w:t>
      </w:r>
    </w:p>
    <w:p w14:paraId="11FA410F"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Rahawarin, Y. (2013). Kerjasama antar umat beragama: Studi rekonsiliasi konflik agama di Maluku dan Tual. </w:t>
      </w:r>
      <w:r>
        <w:rPr>
          <w:rFonts w:ascii="Times New Roman" w:eastAsia="Times New Roman" w:hAnsi="Times New Roman" w:cs="Times New Roman"/>
          <w:i/>
          <w:color w:val="000000"/>
        </w:rPr>
        <w:t>Kalam: Jurnal Studi Agama dan Pemikiran Islam, 7</w:t>
      </w:r>
      <w:r>
        <w:rPr>
          <w:rFonts w:ascii="Times New Roman" w:eastAsia="Times New Roman" w:hAnsi="Times New Roman" w:cs="Times New Roman"/>
          <w:color w:val="000000"/>
        </w:rPr>
        <w:t>(1), 95–120.</w:t>
      </w:r>
    </w:p>
    <w:p w14:paraId="489EA9B3"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Ralahallo, R. N. (2009). Kultur damai berbasis tradisi pela dalam perspektif psikologi sosial. </w:t>
      </w:r>
      <w:r>
        <w:rPr>
          <w:rFonts w:ascii="Times New Roman" w:eastAsia="Times New Roman" w:hAnsi="Times New Roman" w:cs="Times New Roman"/>
          <w:i/>
          <w:color w:val="000000"/>
        </w:rPr>
        <w:t>Jurnal Psikologi, 36</w:t>
      </w:r>
      <w:r>
        <w:rPr>
          <w:rFonts w:ascii="Times New Roman" w:eastAsia="Times New Roman" w:hAnsi="Times New Roman" w:cs="Times New Roman"/>
          <w:color w:val="000000"/>
        </w:rPr>
        <w:t>(2).</w:t>
      </w:r>
    </w:p>
    <w:p w14:paraId="09E11C49"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Ricoeur, P. (1992). </w:t>
      </w:r>
      <w:r>
        <w:rPr>
          <w:rFonts w:ascii="Times New Roman" w:eastAsia="Times New Roman" w:hAnsi="Times New Roman" w:cs="Times New Roman"/>
          <w:i/>
          <w:color w:val="000000"/>
        </w:rPr>
        <w:t>Oneself as another</w:t>
      </w:r>
      <w:r>
        <w:rPr>
          <w:rFonts w:ascii="Times New Roman" w:eastAsia="Times New Roman" w:hAnsi="Times New Roman" w:cs="Times New Roman"/>
          <w:color w:val="000000"/>
        </w:rPr>
        <w:t xml:space="preserve"> (K. Blamey, Penerj.). Chicago: University of Chicago Press.</w:t>
      </w:r>
    </w:p>
    <w:p w14:paraId="1C06D159"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Ruhulessin, J. C. (2005). </w:t>
      </w:r>
      <w:r>
        <w:rPr>
          <w:rFonts w:ascii="Times New Roman" w:eastAsia="Times New Roman" w:hAnsi="Times New Roman" w:cs="Times New Roman"/>
          <w:i/>
          <w:color w:val="000000"/>
        </w:rPr>
        <w:t>Etika publik: Menggali dari tradisi pela di Maluku</w:t>
      </w:r>
      <w:r>
        <w:rPr>
          <w:rFonts w:ascii="Times New Roman" w:eastAsia="Times New Roman" w:hAnsi="Times New Roman" w:cs="Times New Roman"/>
          <w:color w:val="000000"/>
        </w:rPr>
        <w:t>. Salatiga: Satya Wacana University Press.</w:t>
      </w:r>
    </w:p>
    <w:p w14:paraId="4C99F8FB"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Solissa, A. B. (2014). Falsafah pela gandong dan toleransi beragama dalam masyarakat Ambon yang multikultural. </w:t>
      </w:r>
      <w:r>
        <w:rPr>
          <w:rFonts w:ascii="Times New Roman" w:eastAsia="Times New Roman" w:hAnsi="Times New Roman" w:cs="Times New Roman"/>
          <w:i/>
          <w:color w:val="000000"/>
        </w:rPr>
        <w:t>Refleksi, 14</w:t>
      </w:r>
      <w:r>
        <w:rPr>
          <w:rFonts w:ascii="Times New Roman" w:eastAsia="Times New Roman" w:hAnsi="Times New Roman" w:cs="Times New Roman"/>
          <w:color w:val="000000"/>
        </w:rPr>
        <w:t>(2).</w:t>
      </w:r>
    </w:p>
    <w:p w14:paraId="49F1911F"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Supraja, M. (2019). </w:t>
      </w:r>
      <w:r>
        <w:rPr>
          <w:rFonts w:ascii="Times New Roman" w:eastAsia="Times New Roman" w:hAnsi="Times New Roman" w:cs="Times New Roman"/>
          <w:i/>
          <w:color w:val="000000"/>
        </w:rPr>
        <w:t>Menuju ilmu sosial profetik</w:t>
      </w:r>
      <w:r>
        <w:rPr>
          <w:rFonts w:ascii="Times New Roman" w:eastAsia="Times New Roman" w:hAnsi="Times New Roman" w:cs="Times New Roman"/>
          <w:color w:val="000000"/>
        </w:rPr>
        <w:t>. Yogyakarta: Gadjah Mada University Press.</w:t>
      </w:r>
    </w:p>
    <w:p w14:paraId="5359273B"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Syari’ati, A. (1996). </w:t>
      </w:r>
      <w:r>
        <w:rPr>
          <w:rFonts w:ascii="Times New Roman" w:eastAsia="Times New Roman" w:hAnsi="Times New Roman" w:cs="Times New Roman"/>
          <w:i/>
          <w:color w:val="000000"/>
        </w:rPr>
        <w:t>Humanisme: Antara Islam dan mazhab Barat</w:t>
      </w:r>
      <w:r>
        <w:rPr>
          <w:rFonts w:ascii="Times New Roman" w:eastAsia="Times New Roman" w:hAnsi="Times New Roman" w:cs="Times New Roman"/>
          <w:color w:val="000000"/>
        </w:rPr>
        <w:t>. Bandung: Pustaka Hidayah.</w:t>
      </w:r>
    </w:p>
    <w:p w14:paraId="1E42DB87"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Tubaka, A. M. (2021). Konstruksi budaya damai dalam ikatan persaudaraan gandong negeri Muslim-Kristen (Booi, Aboru, Kariu, Hualoy) di Maluku, Indonesia. </w:t>
      </w:r>
      <w:r>
        <w:rPr>
          <w:rFonts w:ascii="Times New Roman" w:eastAsia="Times New Roman" w:hAnsi="Times New Roman" w:cs="Times New Roman"/>
          <w:i/>
          <w:color w:val="000000"/>
        </w:rPr>
        <w:t>Dialektika, 14</w:t>
      </w:r>
      <w:r>
        <w:rPr>
          <w:rFonts w:ascii="Times New Roman" w:eastAsia="Times New Roman" w:hAnsi="Times New Roman" w:cs="Times New Roman"/>
          <w:color w:val="000000"/>
        </w:rPr>
        <w:t>(1), 47–64. https://doi.org/10.33477/dj.v14i1.2180</w:t>
      </w:r>
    </w:p>
    <w:p w14:paraId="05EC7C66"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Wahid, A. (2006). </w:t>
      </w:r>
      <w:r>
        <w:rPr>
          <w:rFonts w:ascii="Times New Roman" w:eastAsia="Times New Roman" w:hAnsi="Times New Roman" w:cs="Times New Roman"/>
          <w:i/>
          <w:color w:val="000000"/>
        </w:rPr>
        <w:t>Islamku, Islam anda, Islam kita: Agama masyarakat negara demokrasi</w:t>
      </w:r>
      <w:r>
        <w:rPr>
          <w:rFonts w:ascii="Times New Roman" w:eastAsia="Times New Roman" w:hAnsi="Times New Roman" w:cs="Times New Roman"/>
          <w:color w:val="000000"/>
        </w:rPr>
        <w:t>. Jakarta: The Wahid Institute.</w:t>
      </w:r>
    </w:p>
    <w:p w14:paraId="5C6D0AED"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Wulansari, R., &amp; Khotimah, N. (2019). Membumikan ilmu sosial profetik: Reaktualisasi gagasan profetik Kuntowijoyo dalam tradisi keilmuwan di Indonesia. </w:t>
      </w:r>
      <w:r>
        <w:rPr>
          <w:rFonts w:ascii="Times New Roman" w:eastAsia="Times New Roman" w:hAnsi="Times New Roman" w:cs="Times New Roman"/>
          <w:i/>
          <w:color w:val="000000"/>
        </w:rPr>
        <w:t>Jurnal Pendidikan Agama Islam Universitas Wahid Hasyim, 7</w:t>
      </w:r>
      <w:r>
        <w:rPr>
          <w:rFonts w:ascii="Times New Roman" w:eastAsia="Times New Roman" w:hAnsi="Times New Roman" w:cs="Times New Roman"/>
          <w:color w:val="000000"/>
        </w:rPr>
        <w:t>(2), 1–15.</w:t>
      </w:r>
    </w:p>
    <w:p w14:paraId="5E4916F0" w14:textId="77777777" w:rsidR="00F41463" w:rsidRDefault="00000000">
      <w:pPr>
        <w:spacing w:after="120"/>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Yakin, A. U. (2016). </w:t>
      </w:r>
      <w:r>
        <w:rPr>
          <w:rFonts w:ascii="Times New Roman" w:eastAsia="Times New Roman" w:hAnsi="Times New Roman" w:cs="Times New Roman"/>
          <w:i/>
          <w:color w:val="000000"/>
        </w:rPr>
        <w:t>Islam moderat dan isu-isu kontemporer: Demokrasi, pluralisme, kebebasan beragama, non-muslim, poligami, dan jihad</w:t>
      </w:r>
      <w:r>
        <w:rPr>
          <w:rFonts w:ascii="Times New Roman" w:eastAsia="Times New Roman" w:hAnsi="Times New Roman" w:cs="Times New Roman"/>
          <w:color w:val="000000"/>
        </w:rPr>
        <w:t>. Jakarta: Kencana.</w:t>
      </w:r>
    </w:p>
    <w:sectPr w:rsidR="00F41463" w:rsidSect="00D347FB">
      <w:headerReference w:type="even" r:id="rId11"/>
      <w:headerReference w:type="default" r:id="rId12"/>
      <w:headerReference w:type="first" r:id="rId13"/>
      <w:footerReference w:type="first" r:id="rId14"/>
      <w:pgSz w:w="11907" w:h="16840"/>
      <w:pgMar w:top="1701" w:right="1134"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BB64A" w14:textId="77777777" w:rsidR="00513591" w:rsidRDefault="00513591">
      <w:r>
        <w:separator/>
      </w:r>
    </w:p>
  </w:endnote>
  <w:endnote w:type="continuationSeparator" w:id="0">
    <w:p w14:paraId="0A519B99" w14:textId="77777777" w:rsidR="00513591" w:rsidRDefault="00513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sto MT">
    <w:charset w:val="00"/>
    <w:family w:val="roman"/>
    <w:pitch w:val="variable"/>
    <w:sig w:usb0="00000003" w:usb1="00000000" w:usb2="00000000" w:usb3="00000000" w:csb0="00000001" w:csb1="00000000"/>
  </w:font>
  <w:font w:name="Centaur">
    <w:charset w:val="00"/>
    <w:family w:val="auto"/>
    <w:pitch w:val="default"/>
    <w:sig w:usb0="00000003" w:usb1="00000000" w:usb2="00000000" w:usb3="00000000" w:csb0="2000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charset w:val="00"/>
    <w:family w:val="auto"/>
    <w:pitch w:val="default"/>
    <w:sig w:usb0="00000287" w:usb1="00000800" w:usb2="00000000" w:usb3="00000000" w:csb0="2000009F" w:csb1="DFD7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C1219" w14:textId="77777777" w:rsidR="00F41463" w:rsidRDefault="00F41463">
    <w:pPr>
      <w:tabs>
        <w:tab w:val="center" w:pos="4320"/>
        <w:tab w:val="right" w:pos="8640"/>
      </w:tabs>
      <w:spacing w:before="120"/>
      <w:jc w:val="center"/>
      <w:rPr>
        <w:rFonts w:ascii="Georgia" w:eastAsia="Georgia" w:hAnsi="Georgia" w:cs="Georgia"/>
        <w:color w:val="000000"/>
        <w:sz w:val="20"/>
        <w:szCs w:val="20"/>
      </w:rPr>
    </w:pPr>
  </w:p>
  <w:p w14:paraId="528F20AC" w14:textId="77777777" w:rsidR="00F41463" w:rsidRDefault="00F41463">
    <w:pPr>
      <w:tabs>
        <w:tab w:val="center" w:pos="4320"/>
        <w:tab w:val="right" w:pos="8640"/>
      </w:tabs>
      <w:jc w:val="center"/>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E5CBF" w14:textId="77777777" w:rsidR="00513591" w:rsidRDefault="00513591">
      <w:r>
        <w:separator/>
      </w:r>
    </w:p>
  </w:footnote>
  <w:footnote w:type="continuationSeparator" w:id="0">
    <w:p w14:paraId="151E1202" w14:textId="77777777" w:rsidR="00513591" w:rsidRDefault="00513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AED7B" w14:textId="77777777" w:rsidR="00F41463" w:rsidRDefault="00F41463">
    <w:pPr>
      <w:widowControl w:val="0"/>
      <w:spacing w:line="276" w:lineRule="auto"/>
      <w:rPr>
        <w:rFonts w:ascii="Times New Roman" w:eastAsia="Times New Roman" w:hAnsi="Times New Roman" w:cs="Times New Roman"/>
        <w:color w:val="000000"/>
        <w:sz w:val="22"/>
        <w:szCs w:val="22"/>
      </w:rPr>
    </w:pPr>
  </w:p>
  <w:tbl>
    <w:tblPr>
      <w:tblStyle w:val="Style76"/>
      <w:tblW w:w="9639" w:type="dxa"/>
      <w:tblInd w:w="-567" w:type="dxa"/>
      <w:tblBorders>
        <w:insideH w:val="single" w:sz="4" w:space="0" w:color="000000"/>
        <w:insideV w:val="single" w:sz="18" w:space="0" w:color="000000"/>
      </w:tblBorders>
      <w:tblLayout w:type="fixed"/>
      <w:tblLook w:val="04A0" w:firstRow="1" w:lastRow="0" w:firstColumn="1" w:lastColumn="0" w:noHBand="0" w:noVBand="1"/>
    </w:tblPr>
    <w:tblGrid>
      <w:gridCol w:w="567"/>
      <w:gridCol w:w="9072"/>
    </w:tblGrid>
    <w:tr w:rsidR="00F41463" w14:paraId="37D79B00" w14:textId="77777777" w:rsidTr="00D0466A">
      <w:trPr>
        <w:trHeight w:val="740"/>
      </w:trPr>
      <w:tc>
        <w:tcPr>
          <w:tcW w:w="567" w:type="dxa"/>
          <w:vAlign w:val="center"/>
        </w:tcPr>
        <w:p w14:paraId="1E4570A9" w14:textId="613A38E5" w:rsidR="00F41463" w:rsidRDefault="00F41463" w:rsidP="00D347FB">
          <w:pPr>
            <w:tabs>
              <w:tab w:val="center" w:pos="4320"/>
              <w:tab w:val="right" w:pos="8640"/>
            </w:tabs>
            <w:jc w:val="center"/>
            <w:rPr>
              <w:rFonts w:ascii="Arial" w:eastAsia="Arial" w:hAnsi="Arial" w:cs="Arial"/>
              <w:color w:val="FFFFFF"/>
            </w:rPr>
          </w:pPr>
        </w:p>
      </w:tc>
      <w:tc>
        <w:tcPr>
          <w:tcW w:w="9072" w:type="dxa"/>
          <w:vAlign w:val="center"/>
        </w:tcPr>
        <w:p w14:paraId="68FFC93A" w14:textId="7204D2F0" w:rsidR="00F41463" w:rsidRDefault="00000000">
          <w:pPr>
            <w:tabs>
              <w:tab w:val="center" w:pos="4320"/>
              <w:tab w:val="right" w:pos="8640"/>
            </w:tabs>
            <w:rPr>
              <w:rFonts w:ascii="Arial" w:eastAsia="Arial" w:hAnsi="Arial" w:cs="Arial"/>
              <w:color w:val="FFFFFF"/>
            </w:rPr>
          </w:pPr>
          <w:r>
            <w:rPr>
              <w:rFonts w:ascii="Arial" w:eastAsia="Arial" w:hAnsi="Arial" w:cs="Arial"/>
              <w:b/>
              <w:color w:val="FFFFFF"/>
              <w:highlight w:val="lightGray"/>
            </w:rPr>
            <w:t xml:space="preserve">Dialektika: Jurnal Pemikiran Islam dan Ilmu Sosial - </w:t>
          </w:r>
          <w:r w:rsidR="00D0466A">
            <w:rPr>
              <w:rFonts w:ascii="Arial" w:eastAsia="Arial" w:hAnsi="Arial" w:cs="Arial"/>
              <w:b/>
              <w:color w:val="FFFFFF"/>
              <w:highlight w:val="lightGray"/>
            </w:rPr>
            <w:t>16</w:t>
          </w:r>
          <w:r>
            <w:rPr>
              <w:rFonts w:ascii="Arial" w:eastAsia="Arial" w:hAnsi="Arial" w:cs="Arial"/>
              <w:b/>
              <w:color w:val="FFFFFF"/>
              <w:highlight w:val="lightGray"/>
            </w:rPr>
            <w:t>(</w:t>
          </w:r>
          <w:r w:rsidR="00D0466A">
            <w:rPr>
              <w:rFonts w:ascii="Arial" w:eastAsia="Arial" w:hAnsi="Arial" w:cs="Arial"/>
              <w:b/>
              <w:color w:val="FFFFFF"/>
              <w:highlight w:val="lightGray"/>
            </w:rPr>
            <w:t>2</w:t>
          </w:r>
          <w:r>
            <w:rPr>
              <w:rFonts w:ascii="Arial" w:eastAsia="Arial" w:hAnsi="Arial" w:cs="Arial"/>
              <w:b/>
              <w:color w:val="FFFFFF"/>
              <w:highlight w:val="lightGray"/>
            </w:rPr>
            <w:t>), 20</w:t>
          </w:r>
          <w:r w:rsidR="00D0466A">
            <w:rPr>
              <w:rFonts w:ascii="Arial" w:eastAsia="Arial" w:hAnsi="Arial" w:cs="Arial"/>
              <w:b/>
              <w:color w:val="FFFFFF"/>
              <w:highlight w:val="lightGray"/>
            </w:rPr>
            <w:t>23</w:t>
          </w:r>
        </w:p>
      </w:tc>
    </w:tr>
  </w:tbl>
  <w:p w14:paraId="65621C2D" w14:textId="77777777" w:rsidR="00F41463" w:rsidRDefault="00F414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7129" w14:textId="77777777" w:rsidR="00F41463" w:rsidRDefault="00F41463">
    <w:pPr>
      <w:widowControl w:val="0"/>
      <w:spacing w:line="276" w:lineRule="auto"/>
      <w:rPr>
        <w:rFonts w:ascii="Times New Roman" w:eastAsia="Times New Roman" w:hAnsi="Times New Roman" w:cs="Times New Roman"/>
        <w:color w:val="000000"/>
      </w:rPr>
    </w:pPr>
  </w:p>
  <w:tbl>
    <w:tblPr>
      <w:tblStyle w:val="Style75"/>
      <w:tblW w:w="8820" w:type="dxa"/>
      <w:tblInd w:w="1037" w:type="dxa"/>
      <w:tblBorders>
        <w:insideH w:val="single" w:sz="4" w:space="0" w:color="000000"/>
        <w:insideV w:val="single" w:sz="18" w:space="0" w:color="000000"/>
      </w:tblBorders>
      <w:tblLayout w:type="fixed"/>
      <w:tblLook w:val="04A0" w:firstRow="1" w:lastRow="0" w:firstColumn="1" w:lastColumn="0" w:noHBand="0" w:noVBand="1"/>
    </w:tblPr>
    <w:tblGrid>
      <w:gridCol w:w="7843"/>
      <w:gridCol w:w="977"/>
    </w:tblGrid>
    <w:tr w:rsidR="00F41463" w14:paraId="1E97DB24" w14:textId="77777777">
      <w:trPr>
        <w:trHeight w:val="700"/>
      </w:trPr>
      <w:tc>
        <w:tcPr>
          <w:tcW w:w="7843" w:type="dxa"/>
          <w:vAlign w:val="center"/>
        </w:tcPr>
        <w:p w14:paraId="1890861A" w14:textId="7F54C8A5" w:rsidR="00D0466A" w:rsidRPr="00D0466A" w:rsidRDefault="00D0466A" w:rsidP="00D0466A">
          <w:pPr>
            <w:tabs>
              <w:tab w:val="center" w:pos="4320"/>
              <w:tab w:val="right" w:pos="8640"/>
            </w:tabs>
            <w:jc w:val="right"/>
            <w:rPr>
              <w:rFonts w:ascii="Arial" w:eastAsia="Arial" w:hAnsi="Arial" w:cs="Arial"/>
              <w:b/>
              <w:color w:val="FFFFFF"/>
              <w:highlight w:val="lightGray"/>
            </w:rPr>
          </w:pPr>
          <w:r>
            <w:rPr>
              <w:rFonts w:ascii="Arial" w:eastAsia="Arial" w:hAnsi="Arial" w:cs="Arial"/>
              <w:b/>
              <w:color w:val="FFFFFF"/>
              <w:highlight w:val="lightGray"/>
            </w:rPr>
            <w:t>Sarluf, Baco, dkk</w:t>
          </w:r>
          <w:r w:rsidR="00000000">
            <w:rPr>
              <w:rFonts w:ascii="Arial" w:eastAsia="Arial" w:hAnsi="Arial" w:cs="Arial"/>
              <w:b/>
              <w:color w:val="FFFFFF"/>
              <w:highlight w:val="lightGray"/>
            </w:rPr>
            <w:t xml:space="preserve"> / Dialektika, </w:t>
          </w:r>
          <w:r>
            <w:rPr>
              <w:rFonts w:ascii="Arial" w:eastAsia="Arial" w:hAnsi="Arial" w:cs="Arial"/>
              <w:b/>
              <w:color w:val="FFFFFF"/>
              <w:highlight w:val="lightGray"/>
            </w:rPr>
            <w:t>16</w:t>
          </w:r>
          <w:r w:rsidR="00000000">
            <w:rPr>
              <w:rFonts w:ascii="Arial" w:eastAsia="Arial" w:hAnsi="Arial" w:cs="Arial"/>
              <w:b/>
              <w:color w:val="FFFFFF"/>
              <w:highlight w:val="lightGray"/>
            </w:rPr>
            <w:t>(</w:t>
          </w:r>
          <w:r>
            <w:rPr>
              <w:rFonts w:ascii="Arial" w:eastAsia="Arial" w:hAnsi="Arial" w:cs="Arial"/>
              <w:b/>
              <w:color w:val="FFFFFF"/>
              <w:highlight w:val="lightGray"/>
            </w:rPr>
            <w:t>2</w:t>
          </w:r>
          <w:r w:rsidR="00000000">
            <w:rPr>
              <w:rFonts w:ascii="Arial" w:eastAsia="Arial" w:hAnsi="Arial" w:cs="Arial"/>
              <w:b/>
              <w:color w:val="FFFFFF"/>
              <w:highlight w:val="lightGray"/>
            </w:rPr>
            <w:t>) (20</w:t>
          </w:r>
          <w:r>
            <w:rPr>
              <w:rFonts w:ascii="Arial" w:eastAsia="Arial" w:hAnsi="Arial" w:cs="Arial"/>
              <w:b/>
              <w:color w:val="FFFFFF"/>
              <w:highlight w:val="lightGray"/>
            </w:rPr>
            <w:t>23</w:t>
          </w:r>
          <w:r w:rsidR="00000000">
            <w:rPr>
              <w:rFonts w:ascii="Arial" w:eastAsia="Arial" w:hAnsi="Arial" w:cs="Arial"/>
              <w:b/>
              <w:color w:val="FFFFFF"/>
              <w:highlight w:val="lightGray"/>
            </w:rPr>
            <w:t xml:space="preserve">) Hal </w:t>
          </w:r>
          <w:r w:rsidR="00D347FB">
            <w:rPr>
              <w:rFonts w:ascii="Arial" w:eastAsia="Arial" w:hAnsi="Arial" w:cs="Arial"/>
              <w:b/>
              <w:color w:val="FFFFFF"/>
              <w:highlight w:val="lightGray"/>
            </w:rPr>
            <w:t>64</w:t>
          </w:r>
          <w:r w:rsidR="00000000">
            <w:rPr>
              <w:rFonts w:ascii="Arial" w:eastAsia="Arial" w:hAnsi="Arial" w:cs="Arial"/>
              <w:b/>
              <w:color w:val="FFFFFF"/>
              <w:highlight w:val="lightGray"/>
            </w:rPr>
            <w:t>-</w:t>
          </w:r>
          <w:r w:rsidR="00D347FB">
            <w:rPr>
              <w:rFonts w:ascii="Arial" w:eastAsia="Arial" w:hAnsi="Arial" w:cs="Arial"/>
              <w:b/>
              <w:color w:val="FFFFFF"/>
              <w:highlight w:val="lightGray"/>
            </w:rPr>
            <w:t>80</w:t>
          </w:r>
        </w:p>
        <w:p w14:paraId="3217F9DE" w14:textId="77777777" w:rsidR="00F41463" w:rsidRDefault="00000000">
          <w:pPr>
            <w:tabs>
              <w:tab w:val="left" w:pos="4906"/>
            </w:tabs>
            <w:jc w:val="right"/>
            <w:rPr>
              <w:color w:val="FFFFFF"/>
              <w:highlight w:val="lightGray"/>
            </w:rPr>
          </w:pPr>
          <w:r>
            <w:rPr>
              <w:color w:val="FFFFFF"/>
            </w:rPr>
            <w:tab/>
          </w:r>
        </w:p>
      </w:tc>
      <w:tc>
        <w:tcPr>
          <w:tcW w:w="977" w:type="dxa"/>
          <w:vAlign w:val="center"/>
        </w:tcPr>
        <w:p w14:paraId="5CD97CDC" w14:textId="17BA2366" w:rsidR="00F41463" w:rsidRDefault="00F41463">
          <w:pPr>
            <w:tabs>
              <w:tab w:val="center" w:pos="4320"/>
              <w:tab w:val="right" w:pos="8640"/>
            </w:tabs>
            <w:rPr>
              <w:rFonts w:ascii="Arial" w:eastAsia="Arial" w:hAnsi="Arial" w:cs="Arial"/>
              <w:b/>
              <w:color w:val="FFFFFF"/>
              <w:sz w:val="22"/>
              <w:szCs w:val="22"/>
            </w:rPr>
          </w:pPr>
        </w:p>
      </w:tc>
    </w:tr>
  </w:tbl>
  <w:p w14:paraId="42BEB80A" w14:textId="77777777" w:rsidR="00F41463" w:rsidRDefault="00F41463">
    <w:pPr>
      <w:tabs>
        <w:tab w:val="center" w:pos="4320"/>
        <w:tab w:val="right" w:pos="8640"/>
      </w:tabs>
      <w:rPr>
        <w:rFonts w:ascii="Times New Roman" w:eastAsia="Times New Roman" w:hAnsi="Times New Roman" w:cs="Times New Roman"/>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EF151" w14:textId="77777777" w:rsidR="00F41463" w:rsidRDefault="00F41463">
    <w:pPr>
      <w:widowControl w:val="0"/>
      <w:spacing w:line="276" w:lineRule="auto"/>
    </w:pPr>
  </w:p>
  <w:tbl>
    <w:tblPr>
      <w:tblStyle w:val="Style77"/>
      <w:tblW w:w="9072" w:type="dxa"/>
      <w:tblInd w:w="-6" w:type="dxa"/>
      <w:tblBorders>
        <w:top w:val="single" w:sz="4" w:space="0" w:color="000000"/>
        <w:bottom w:val="single" w:sz="18" w:space="0" w:color="000000"/>
      </w:tblBorders>
      <w:tblLayout w:type="fixed"/>
      <w:tblLook w:val="04A0" w:firstRow="1" w:lastRow="0" w:firstColumn="1" w:lastColumn="0" w:noHBand="0" w:noVBand="1"/>
    </w:tblPr>
    <w:tblGrid>
      <w:gridCol w:w="1512"/>
      <w:gridCol w:w="7560"/>
    </w:tblGrid>
    <w:tr w:rsidR="00F41463" w14:paraId="64524B6E" w14:textId="77777777">
      <w:trPr>
        <w:trHeight w:val="1910"/>
      </w:trPr>
      <w:tc>
        <w:tcPr>
          <w:tcW w:w="1512" w:type="dxa"/>
          <w:vAlign w:val="center"/>
        </w:tcPr>
        <w:p w14:paraId="2E6C5DFC" w14:textId="77777777" w:rsidR="00F41463" w:rsidRDefault="00000000">
          <w:pPr>
            <w:jc w:val="center"/>
            <w:rPr>
              <w:rFonts w:ascii="Cambria" w:eastAsia="Cambria" w:hAnsi="Cambria" w:cs="Cambria"/>
              <w:b/>
              <w:color w:val="000000"/>
              <w:sz w:val="28"/>
              <w:szCs w:val="28"/>
            </w:rPr>
          </w:pPr>
          <w:r>
            <w:rPr>
              <w:noProof/>
            </w:rPr>
            <w:drawing>
              <wp:anchor distT="0" distB="0" distL="114300" distR="114300" simplePos="0" relativeHeight="251659264" behindDoc="0" locked="0" layoutInCell="1" allowOverlap="1" wp14:anchorId="3BD3E421" wp14:editId="4AE3884D">
                <wp:simplePos x="0" y="0"/>
                <wp:positionH relativeFrom="column">
                  <wp:posOffset>88900</wp:posOffset>
                </wp:positionH>
                <wp:positionV relativeFrom="paragraph">
                  <wp:posOffset>12700</wp:posOffset>
                </wp:positionV>
                <wp:extent cx="1012825" cy="838200"/>
                <wp:effectExtent l="0" t="0" r="0" b="0"/>
                <wp:wrapNone/>
                <wp:docPr id="4" name="image1.jpg" descr="D:\JURNAL TADRIS  IPA\Dialektika\Cover Dialektika - Copy.jpg"/>
                <wp:cNvGraphicFramePr/>
                <a:graphic xmlns:a="http://schemas.openxmlformats.org/drawingml/2006/main">
                  <a:graphicData uri="http://schemas.openxmlformats.org/drawingml/2006/picture">
                    <pic:pic xmlns:pic="http://schemas.openxmlformats.org/drawingml/2006/picture">
                      <pic:nvPicPr>
                        <pic:cNvPr id="4" name="image1.jpg" descr="D:\JURNAL TADRIS  IPA\Dialektika\Cover Dialektika - Copy.jpg"/>
                        <pic:cNvPicPr preferRelativeResize="0"/>
                      </pic:nvPicPr>
                      <pic:blipFill>
                        <a:blip r:embed="rId1"/>
                        <a:srcRect l="4491"/>
                        <a:stretch>
                          <a:fillRect/>
                        </a:stretch>
                      </pic:blipFill>
                      <pic:spPr>
                        <a:xfrm>
                          <a:off x="0" y="0"/>
                          <a:ext cx="1012825" cy="838200"/>
                        </a:xfrm>
                        <a:prstGeom prst="rect">
                          <a:avLst/>
                        </a:prstGeom>
                      </pic:spPr>
                    </pic:pic>
                  </a:graphicData>
                </a:graphic>
              </wp:anchor>
            </w:drawing>
          </w:r>
        </w:p>
      </w:tc>
      <w:tc>
        <w:tcPr>
          <w:tcW w:w="7560" w:type="dxa"/>
        </w:tcPr>
        <w:p w14:paraId="0E5E50CF" w14:textId="77777777" w:rsidR="00F41463" w:rsidRDefault="00000000">
          <w:pPr>
            <w:tabs>
              <w:tab w:val="center" w:pos="4320"/>
              <w:tab w:val="right" w:pos="8640"/>
            </w:tabs>
            <w:jc w:val="center"/>
            <w:rPr>
              <w:rFonts w:ascii="Cambria" w:eastAsia="Cambria" w:hAnsi="Cambria" w:cs="Cambria"/>
              <w:b/>
              <w:color w:val="000000"/>
              <w:sz w:val="40"/>
              <w:szCs w:val="40"/>
            </w:rPr>
          </w:pPr>
          <w:r>
            <w:rPr>
              <w:rFonts w:ascii="Cambria" w:eastAsia="Cambria" w:hAnsi="Cambria" w:cs="Cambria"/>
              <w:b/>
              <w:color w:val="000000"/>
              <w:sz w:val="40"/>
              <w:szCs w:val="40"/>
            </w:rPr>
            <w:t>DIALEKTIKA</w:t>
          </w:r>
        </w:p>
        <w:p w14:paraId="534EDAE2" w14:textId="77777777" w:rsidR="00F41463" w:rsidRDefault="00000000">
          <w:pPr>
            <w:tabs>
              <w:tab w:val="center" w:pos="4320"/>
              <w:tab w:val="right" w:pos="8640"/>
            </w:tabs>
            <w:jc w:val="center"/>
            <w:rPr>
              <w:rFonts w:ascii="Cambria" w:eastAsia="Cambria" w:hAnsi="Cambria" w:cs="Cambria"/>
              <w:b/>
              <w:color w:val="000000"/>
              <w:sz w:val="28"/>
              <w:szCs w:val="28"/>
            </w:rPr>
          </w:pPr>
          <w:r>
            <w:rPr>
              <w:rFonts w:ascii="Cambria" w:eastAsia="Cambria" w:hAnsi="Cambria" w:cs="Cambria"/>
              <w:b/>
              <w:color w:val="000000"/>
              <w:sz w:val="32"/>
              <w:szCs w:val="32"/>
            </w:rPr>
            <w:t>Jurnal Pemikiran Islam dan Ilmu Sosial</w:t>
          </w:r>
        </w:p>
        <w:p w14:paraId="132FE719" w14:textId="77777777" w:rsidR="00F41463" w:rsidRDefault="00000000">
          <w:pPr>
            <w:tabs>
              <w:tab w:val="left" w:pos="675"/>
              <w:tab w:val="center" w:pos="4320"/>
              <w:tab w:val="center" w:pos="4499"/>
              <w:tab w:val="right" w:pos="8640"/>
            </w:tabs>
            <w:jc w:val="center"/>
            <w:rPr>
              <w:rFonts w:ascii="Cambria" w:eastAsia="Cambria" w:hAnsi="Cambria" w:cs="Cambria"/>
              <w:color w:val="000000"/>
            </w:rPr>
          </w:pPr>
          <w:hyperlink r:id="rId2">
            <w:r>
              <w:rPr>
                <w:rFonts w:ascii="Cambria" w:eastAsia="Cambria" w:hAnsi="Cambria" w:cs="Cambria"/>
                <w:color w:val="0000FF"/>
                <w:u w:val="single"/>
              </w:rPr>
              <w:t>https://jurnal.iainambon.ac.id/index.php/DT/index</w:t>
            </w:r>
          </w:hyperlink>
          <w:r>
            <w:rPr>
              <w:rFonts w:ascii="Cambria" w:eastAsia="Cambria" w:hAnsi="Cambria" w:cs="Cambria"/>
              <w:color w:val="000000"/>
            </w:rPr>
            <w:t xml:space="preserve"> </w:t>
          </w:r>
        </w:p>
        <w:p w14:paraId="2FC15923" w14:textId="77777777" w:rsidR="00F41463" w:rsidRDefault="00000000">
          <w:pPr>
            <w:tabs>
              <w:tab w:val="left" w:pos="675"/>
              <w:tab w:val="center" w:pos="4320"/>
              <w:tab w:val="center" w:pos="4499"/>
              <w:tab w:val="right" w:pos="8640"/>
            </w:tabs>
            <w:jc w:val="center"/>
            <w:rPr>
              <w:rFonts w:ascii="Cambria" w:eastAsia="Cambria" w:hAnsi="Cambria" w:cs="Cambria"/>
              <w:color w:val="000000"/>
              <w:sz w:val="28"/>
              <w:szCs w:val="28"/>
            </w:rPr>
          </w:pPr>
          <w:r>
            <w:rPr>
              <w:rFonts w:ascii="Cambria" w:eastAsia="Cambria" w:hAnsi="Cambria" w:cs="Cambria"/>
              <w:color w:val="000000"/>
              <w:sz w:val="28"/>
              <w:szCs w:val="28"/>
            </w:rPr>
            <w:t>ISSN : 1858-3679 (print), 2685-791x (online)</w:t>
          </w:r>
        </w:p>
        <w:p w14:paraId="27857041" w14:textId="77777777" w:rsidR="00F41463" w:rsidRDefault="00000000">
          <w:pPr>
            <w:tabs>
              <w:tab w:val="left" w:pos="675"/>
              <w:tab w:val="center" w:pos="4320"/>
              <w:tab w:val="center" w:pos="4499"/>
              <w:tab w:val="right" w:pos="8640"/>
            </w:tabs>
            <w:jc w:val="center"/>
            <w:rPr>
              <w:rFonts w:ascii="Cambria" w:eastAsia="Cambria" w:hAnsi="Cambria" w:cs="Cambria"/>
              <w:color w:val="000000"/>
              <w:sz w:val="22"/>
              <w:szCs w:val="22"/>
            </w:rPr>
          </w:pPr>
          <w:r>
            <w:rPr>
              <w:rFonts w:ascii="Cambria" w:eastAsia="Cambria" w:hAnsi="Cambria" w:cs="Cambria"/>
              <w:color w:val="000000"/>
              <w:sz w:val="22"/>
              <w:szCs w:val="22"/>
            </w:rPr>
            <w:t>Office: Jl. Dr. H. Tarmidzi Taher, Kompleks IAIN Ambon</w:t>
          </w:r>
        </w:p>
        <w:p w14:paraId="45302D9A" w14:textId="77777777" w:rsidR="00F41463" w:rsidRDefault="00000000">
          <w:pPr>
            <w:tabs>
              <w:tab w:val="left" w:pos="675"/>
              <w:tab w:val="center" w:pos="4320"/>
              <w:tab w:val="center" w:pos="4499"/>
              <w:tab w:val="right" w:pos="8640"/>
            </w:tabs>
            <w:jc w:val="center"/>
            <w:rPr>
              <w:rFonts w:ascii="Cambria" w:eastAsia="Cambria" w:hAnsi="Cambria" w:cs="Cambria"/>
              <w:color w:val="000000"/>
            </w:rPr>
          </w:pPr>
          <w:r>
            <w:rPr>
              <w:rFonts w:ascii="Cambria" w:eastAsia="Cambria" w:hAnsi="Cambria" w:cs="Cambria"/>
              <w:color w:val="000000"/>
            </w:rPr>
            <w:t xml:space="preserve">email: </w:t>
          </w:r>
          <w:hyperlink r:id="rId3">
            <w:r>
              <w:rPr>
                <w:rFonts w:ascii="Cambria" w:eastAsia="Cambria" w:hAnsi="Cambria" w:cs="Cambria"/>
                <w:color w:val="0000FF"/>
                <w:u w:val="single"/>
              </w:rPr>
              <w:t>dialektika@iainambon.ac.id</w:t>
            </w:r>
          </w:hyperlink>
          <w:r>
            <w:rPr>
              <w:rFonts w:ascii="Cambria" w:eastAsia="Cambria" w:hAnsi="Cambria" w:cs="Cambria"/>
              <w:color w:val="000000"/>
            </w:rPr>
            <w:t xml:space="preserve"> </w:t>
          </w:r>
        </w:p>
      </w:tc>
    </w:tr>
  </w:tbl>
  <w:p w14:paraId="442496AC" w14:textId="77777777" w:rsidR="00F41463" w:rsidRDefault="00F41463">
    <w:pPr>
      <w:tabs>
        <w:tab w:val="center" w:pos="4320"/>
        <w:tab w:val="right" w:pos="8640"/>
      </w:tabs>
      <w:rPr>
        <w:rFonts w:ascii="Cambria" w:eastAsia="Cambria" w:hAnsi="Cambria" w:cs="Cambria"/>
        <w:color w:val="000000"/>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463"/>
    <w:rsid w:val="00513591"/>
    <w:rsid w:val="00D0466A"/>
    <w:rsid w:val="00D347FB"/>
    <w:rsid w:val="00DE2DD3"/>
    <w:rsid w:val="00F41463"/>
    <w:rsid w:val="39946D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AFECE8"/>
  <w15:docId w15:val="{C377B060-905A-441B-A2F2-F1E0DDA7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ID" w:eastAsia="en-ID"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uiPriority="9"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qFormat="1"/>
    <w:lsdException w:name="footer" w:uiPriority="99" w:qFormat="1"/>
    <w:lsdException w:name="caption" w:semiHidden="1" w:unhideWhenUsed="1" w:qFormat="1"/>
    <w:lsdException w:name="annotation reference" w:uiPriority="99"/>
    <w:lsdException w:name="page number" w:uiPriority="99" w:qFormat="1"/>
    <w:lsdException w:name="Title" w:qFormat="1"/>
    <w:lsdException w:name="Default Paragraph Font" w:semiHidden="1" w:uiPriority="1" w:unhideWhenUsed="1" w:qFormat="1"/>
    <w:lsdException w:name="Body Text" w:semiHidden="1" w:uiPriority="1" w:unhideWhenUsed="1" w:qFormat="1"/>
    <w:lsdException w:name="Hyperlink" w:uiPriority="99"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paragraph" w:styleId="Heading1">
    <w:name w:val="heading 1"/>
    <w:next w:val="Normal"/>
    <w:link w:val="Heading1Char"/>
    <w:uiPriority w:val="9"/>
    <w:qFormat/>
    <w:pPr>
      <w:keepNext/>
      <w:keepLines/>
      <w:spacing w:before="480" w:line="276" w:lineRule="auto"/>
      <w:jc w:val="both"/>
      <w:outlineLvl w:val="0"/>
    </w:pPr>
    <w:rPr>
      <w:b/>
      <w:bCs/>
      <w:sz w:val="24"/>
      <w:szCs w:val="28"/>
      <w:lang w:val="en-US"/>
    </w:rPr>
  </w:style>
  <w:style w:type="paragraph" w:styleId="Heading2">
    <w:name w:val="heading 2"/>
    <w:next w:val="Normal"/>
    <w:link w:val="Heading2Char"/>
    <w:semiHidden/>
    <w:unhideWhenUsed/>
    <w:qFormat/>
    <w:pPr>
      <w:keepNext/>
      <w:keepLines/>
      <w:spacing w:before="200"/>
      <w:outlineLvl w:val="1"/>
    </w:pPr>
    <w:rPr>
      <w:rFonts w:ascii="Cambria" w:hAnsi="Cambria"/>
      <w:b/>
      <w:bCs/>
      <w:color w:val="4F81BD"/>
      <w:sz w:val="26"/>
      <w:szCs w:val="26"/>
      <w:lang w:val="en-US"/>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next w:val="Normal"/>
    <w:link w:val="Heading4Char"/>
    <w:uiPriority w:val="9"/>
    <w:unhideWhenUsed/>
    <w:qFormat/>
    <w:pPr>
      <w:keepNext/>
      <w:keepLines/>
      <w:spacing w:before="200"/>
      <w:outlineLvl w:val="3"/>
    </w:pPr>
    <w:rPr>
      <w:rFonts w:ascii="Cambria" w:hAnsi="Cambria"/>
      <w:b/>
      <w:bCs/>
      <w:i/>
      <w:iCs/>
      <w:color w:val="4F81BD"/>
      <w:sz w:val="24"/>
      <w:szCs w:val="24"/>
      <w:lang w:val="en-US"/>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
    <w:name w:val="Body Text"/>
    <w:basedOn w:val="Normal"/>
    <w:link w:val="BodyTextChar"/>
    <w:uiPriority w:val="1"/>
    <w:semiHidden/>
    <w:unhideWhenUsed/>
    <w:qFormat/>
    <w:pPr>
      <w:widowControl w:val="0"/>
      <w:autoSpaceDE w:val="0"/>
      <w:autoSpaceDN w:val="0"/>
    </w:p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rPr>
      <w:b/>
      <w:bCs/>
    </w:rPr>
  </w:style>
  <w:style w:type="character" w:styleId="Emphasis">
    <w:name w:val="Emphasis"/>
    <w:uiPriority w:val="20"/>
    <w:qFormat/>
    <w:rPr>
      <w:i/>
    </w:rPr>
  </w:style>
  <w:style w:type="character" w:styleId="FollowedHyperlink">
    <w:name w:val="FollowedHyperlink"/>
    <w:rPr>
      <w:color w:val="954F72"/>
      <w:u w:val="single"/>
    </w:rPr>
  </w:style>
  <w:style w:type="paragraph" w:styleId="Footer">
    <w:name w:val="footer"/>
    <w:basedOn w:val="Normal"/>
    <w:link w:val="FooterChar"/>
    <w:uiPriority w:val="99"/>
    <w:qFormat/>
    <w:pPr>
      <w:tabs>
        <w:tab w:val="center" w:pos="4320"/>
        <w:tab w:val="right" w:pos="8640"/>
      </w:tabs>
    </w:pPr>
  </w:style>
  <w:style w:type="paragraph" w:styleId="Header">
    <w:name w:val="header"/>
    <w:basedOn w:val="Normal"/>
    <w:link w:val="HeaderChar"/>
    <w:uiPriority w:val="99"/>
    <w:qFormat/>
    <w:pPr>
      <w:tabs>
        <w:tab w:val="center" w:pos="4320"/>
        <w:tab w:val="right" w:pos="8640"/>
      </w:tabs>
    </w:pPr>
  </w:style>
  <w:style w:type="character" w:styleId="Hyperlink">
    <w:name w:val="Hyperlink"/>
    <w:uiPriority w:val="99"/>
    <w:qFormat/>
    <w:rPr>
      <w:rFonts w:cs="Times New Roman"/>
      <w:color w:val="0000FF"/>
      <w:u w:val="single"/>
    </w:rPr>
  </w:style>
  <w:style w:type="character" w:styleId="PageNumber">
    <w:name w:val="page number"/>
    <w:uiPriority w:val="99"/>
    <w:qFormat/>
    <w:rPr>
      <w:rFonts w:cs="Times New Roman"/>
    </w:rPr>
  </w:style>
  <w:style w:type="character" w:styleId="Strong">
    <w:name w:val="Strong"/>
    <w:uiPriority w:val="22"/>
    <w:qFormat/>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Normal1">
    <w:name w:val="Table Normal1"/>
    <w:qFormat/>
    <w:tblPr>
      <w:tblCellMar>
        <w:top w:w="0" w:type="dxa"/>
        <w:left w:w="0" w:type="dxa"/>
        <w:bottom w:w="0" w:type="dxa"/>
        <w:right w:w="0" w:type="dxa"/>
      </w:tblCellMar>
    </w:tblPr>
  </w:style>
  <w:style w:type="paragraph" w:styleId="Title">
    <w:name w:val="Title"/>
    <w:basedOn w:val="Normal"/>
    <w:next w:val="Normal"/>
    <w:qFormat/>
    <w:pPr>
      <w:keepNext/>
      <w:keepLines/>
      <w:spacing w:before="480" w:after="120"/>
    </w:pPr>
    <w:rPr>
      <w:b/>
      <w:sz w:val="72"/>
      <w:szCs w:val="72"/>
    </w:rPr>
  </w:style>
  <w:style w:type="character" w:customStyle="1" w:styleId="HeaderChar">
    <w:name w:val="Header Char"/>
    <w:link w:val="Header"/>
    <w:uiPriority w:val="99"/>
    <w:qFormat/>
    <w:locked/>
    <w:rPr>
      <w:rFonts w:cs="Times New Roman"/>
      <w:sz w:val="24"/>
      <w:szCs w:val="24"/>
      <w:lang w:val="en-US" w:eastAsia="en-US"/>
    </w:rPr>
  </w:style>
  <w:style w:type="character" w:customStyle="1" w:styleId="FooterChar">
    <w:name w:val="Footer Char"/>
    <w:link w:val="Footer"/>
    <w:uiPriority w:val="99"/>
    <w:qFormat/>
    <w:locked/>
    <w:rPr>
      <w:rFonts w:cs="Times New Roman"/>
      <w:sz w:val="24"/>
      <w:szCs w:val="24"/>
      <w:lang w:val="en-US" w:eastAsia="en-US"/>
    </w:rPr>
  </w:style>
  <w:style w:type="paragraph" w:customStyle="1" w:styleId="E-JOURNALTitleIndonesia">
    <w:name w:val="E-JOURNAL_Title Indonesia"/>
    <w:basedOn w:val="Normal"/>
    <w:qFormat/>
    <w:pPr>
      <w:jc w:val="center"/>
    </w:pPr>
    <w:rPr>
      <w:b/>
      <w:sz w:val="28"/>
      <w:szCs w:val="28"/>
      <w:lang w:val="id-ID"/>
    </w:rPr>
  </w:style>
  <w:style w:type="paragraph" w:customStyle="1" w:styleId="E-JOURNALTitleEnglish">
    <w:name w:val="E-JOURNAL_Title English"/>
    <w:basedOn w:val="Normal"/>
    <w:qFormat/>
    <w:pPr>
      <w:jc w:val="center"/>
    </w:pPr>
    <w:rPr>
      <w:b/>
      <w:i/>
      <w:sz w:val="22"/>
      <w:lang w:val="id-ID"/>
    </w:rPr>
  </w:style>
  <w:style w:type="paragraph" w:customStyle="1" w:styleId="E-JOURNALAuthor">
    <w:name w:val="E-JOURNAL_Author"/>
    <w:basedOn w:val="Normal"/>
    <w:qFormat/>
    <w:pPr>
      <w:jc w:val="center"/>
    </w:pPr>
    <w:rPr>
      <w:sz w:val="22"/>
      <w:szCs w:val="22"/>
      <w:lang w:val="id-ID"/>
    </w:rPr>
  </w:style>
  <w:style w:type="paragraph" w:customStyle="1" w:styleId="E-JOURNALAbstrakTitle">
    <w:name w:val="E-JOURNAL_AbstrakTitle"/>
    <w:basedOn w:val="Normal"/>
    <w:qFormat/>
    <w:pPr>
      <w:spacing w:after="120"/>
      <w:jc w:val="center"/>
    </w:pPr>
    <w:rPr>
      <w:b/>
      <w:sz w:val="22"/>
      <w:lang w:val="id-ID"/>
    </w:rPr>
  </w:style>
  <w:style w:type="paragraph" w:customStyle="1" w:styleId="E-JOURNALTitle">
    <w:name w:val="E-JOURNAL_Title"/>
    <w:basedOn w:val="Normal"/>
    <w:qFormat/>
    <w:pPr>
      <w:ind w:firstLine="567"/>
      <w:jc w:val="center"/>
    </w:pPr>
    <w:rPr>
      <w:b/>
      <w:sz w:val="22"/>
      <w:szCs w:val="22"/>
      <w:lang w:val="id-ID"/>
    </w:rPr>
  </w:style>
  <w:style w:type="paragraph" w:customStyle="1" w:styleId="E-JOURNALAbstractBody">
    <w:name w:val="E-JOURNAL_AbstractBody"/>
    <w:basedOn w:val="E-JOURNALHeading1"/>
    <w:qFormat/>
    <w:pPr>
      <w:jc w:val="center"/>
    </w:pPr>
  </w:style>
  <w:style w:type="paragraph" w:customStyle="1" w:styleId="E-JOURNALHeading1">
    <w:name w:val="E-JOURNAL_Heading 1"/>
    <w:basedOn w:val="Normal"/>
    <w:qFormat/>
    <w:pPr>
      <w:spacing w:before="120" w:after="120"/>
    </w:pPr>
    <w:rPr>
      <w:b/>
      <w:sz w:val="22"/>
      <w:szCs w:val="22"/>
    </w:rPr>
  </w:style>
  <w:style w:type="paragraph" w:customStyle="1" w:styleId="E-JOURNALAbstractBodyEnglish">
    <w:name w:val="E-JOURNAL_AbstractBodyEnglish"/>
    <w:basedOn w:val="Normal"/>
    <w:qFormat/>
    <w:pPr>
      <w:ind w:firstLine="567"/>
      <w:jc w:val="both"/>
    </w:pPr>
    <w:rPr>
      <w:i/>
      <w:sz w:val="22"/>
      <w:szCs w:val="22"/>
      <w:lang w:val="id-ID"/>
    </w:rPr>
  </w:style>
  <w:style w:type="paragraph" w:customStyle="1" w:styleId="E-JOURNALBody">
    <w:name w:val="E-JOURNAL_Body"/>
    <w:basedOn w:val="Normal"/>
    <w:qFormat/>
    <w:pPr>
      <w:ind w:firstLine="567"/>
      <w:jc w:val="both"/>
    </w:pPr>
    <w:rPr>
      <w:sz w:val="22"/>
      <w:lang w:val="id-ID"/>
    </w:rPr>
  </w:style>
  <w:style w:type="paragraph" w:customStyle="1" w:styleId="E-JOURNALHeading2">
    <w:name w:val="E-JOURNAL_Heading 2"/>
    <w:basedOn w:val="Normal"/>
    <w:qFormat/>
    <w:pPr>
      <w:spacing w:before="120" w:after="120"/>
    </w:pPr>
    <w:rPr>
      <w:b/>
      <w:sz w:val="22"/>
      <w:szCs w:val="22"/>
    </w:rPr>
  </w:style>
  <w:style w:type="paragraph" w:customStyle="1" w:styleId="StyleE-JournalHeading2After5pt">
    <w:name w:val="Style E-Journal_Heading 2 + After:  5 pt"/>
    <w:basedOn w:val="Normal"/>
    <w:pPr>
      <w:spacing w:before="120" w:after="100" w:line="320" w:lineRule="atLeast"/>
      <w:jc w:val="both"/>
    </w:pPr>
    <w:rPr>
      <w:b/>
      <w:bCs/>
      <w:sz w:val="22"/>
      <w:szCs w:val="20"/>
      <w:lang w:val="id-ID"/>
    </w:rPr>
  </w:style>
  <w:style w:type="paragraph" w:customStyle="1" w:styleId="E-JOURNALTableCaption">
    <w:name w:val="E-JOURNAL_TableCaption"/>
    <w:basedOn w:val="Normal"/>
    <w:autoRedefine/>
    <w:qFormat/>
    <w:pPr>
      <w:spacing w:before="120" w:after="120" w:line="240" w:lineRule="atLeast"/>
      <w:jc w:val="center"/>
    </w:pPr>
    <w:rPr>
      <w:sz w:val="22"/>
      <w:lang w:val="id-ID"/>
    </w:rPr>
  </w:style>
  <w:style w:type="paragraph" w:customStyle="1" w:styleId="E-JOURNALTable">
    <w:name w:val="E-JOURNAL_Table"/>
    <w:basedOn w:val="Normal"/>
    <w:qFormat/>
    <w:pPr>
      <w:spacing w:line="240" w:lineRule="atLeast"/>
      <w:jc w:val="center"/>
    </w:pPr>
    <w:rPr>
      <w:sz w:val="22"/>
      <w:lang w:val="id-ID"/>
    </w:rPr>
  </w:style>
  <w:style w:type="paragraph" w:customStyle="1" w:styleId="E-JOURNALPictureCapture">
    <w:name w:val="E-JOURNAL_Picture Capture"/>
    <w:basedOn w:val="Normal"/>
    <w:autoRedefine/>
    <w:qFormat/>
    <w:pPr>
      <w:spacing w:before="120" w:after="120" w:line="240" w:lineRule="atLeast"/>
      <w:jc w:val="center"/>
    </w:pPr>
    <w:rPr>
      <w:color w:val="000000"/>
      <w:sz w:val="22"/>
      <w:lang w:val="id-ID"/>
    </w:rPr>
  </w:style>
  <w:style w:type="paragraph" w:customStyle="1" w:styleId="E-JOURNALDaftarPustaka">
    <w:name w:val="E-JOURNAL_Daftar Pustaka"/>
    <w:basedOn w:val="Normal"/>
    <w:qFormat/>
    <w:pPr>
      <w:spacing w:before="240" w:line="240" w:lineRule="atLeast"/>
      <w:ind w:left="720" w:hanging="720"/>
      <w:jc w:val="both"/>
    </w:pPr>
    <w:rPr>
      <w:color w:val="000000"/>
      <w:sz w:val="22"/>
      <w:szCs w:val="22"/>
      <w:lang w:val="id-ID"/>
    </w:rPr>
  </w:style>
  <w:style w:type="paragraph" w:customStyle="1" w:styleId="StyleE-JournalTableCaption11ptLeft0cmHanging16c">
    <w:name w:val="Style E-Journal Table Caption + 11 pt Left:  0 cm Hanging:  16 c..."/>
    <w:basedOn w:val="E-JOURNALTableCaption"/>
    <w:pPr>
      <w:spacing w:line="240" w:lineRule="auto"/>
      <w:ind w:left="907" w:hanging="907"/>
    </w:pPr>
    <w:rPr>
      <w:szCs w:val="20"/>
    </w:rPr>
  </w:style>
  <w:style w:type="paragraph" w:customStyle="1" w:styleId="E-JOURNALAbstrakKeywords">
    <w:name w:val="E-JOURNAL_AbstrakKeywords"/>
    <w:basedOn w:val="E-JOURNALAbstractBodyEnglish"/>
    <w:qFormat/>
    <w:pPr>
      <w:spacing w:before="240" w:after="240"/>
      <w:ind w:firstLine="0"/>
    </w:pPr>
  </w:style>
  <w:style w:type="paragraph" w:customStyle="1" w:styleId="StyleE-JournalKeywordsNotItalic">
    <w:name w:val="Style E-Journal_Keywords + Not Italic"/>
    <w:basedOn w:val="E-JOURNALAbstrakKeywords"/>
    <w:pPr>
      <w:spacing w:before="120" w:after="120"/>
    </w:pPr>
    <w:rPr>
      <w:i w:val="0"/>
    </w:rPr>
  </w:style>
  <w:style w:type="paragraph" w:customStyle="1" w:styleId="E-JOURNALHeadingBulletsBody">
    <w:name w:val="E-JOURNAL_HeadingBulletsBody"/>
    <w:basedOn w:val="E-JOURNALBody"/>
    <w:qFormat/>
    <w:pPr>
      <w:ind w:left="284" w:hanging="142"/>
    </w:pPr>
  </w:style>
  <w:style w:type="paragraph" w:customStyle="1" w:styleId="E-JOURNALTitleAbstractEnglish">
    <w:name w:val="E-JOURNAL_TitleAbstractEnglish"/>
    <w:basedOn w:val="Normal"/>
    <w:autoRedefine/>
    <w:pPr>
      <w:spacing w:before="120" w:after="120"/>
      <w:jc w:val="center"/>
    </w:pPr>
    <w:rPr>
      <w:b/>
      <w:bCs/>
      <w:i/>
      <w:iCs/>
      <w:sz w:val="22"/>
      <w:szCs w:val="20"/>
      <w:lang w:val="id-ID"/>
    </w:rPr>
  </w:style>
  <w:style w:type="paragraph" w:customStyle="1" w:styleId="E-JOURNALKutipanLangsung">
    <w:name w:val="E-JOURNAL_Kutipan Langsung"/>
    <w:basedOn w:val="E-JOURNALBody"/>
    <w:qFormat/>
    <w:pPr>
      <w:ind w:left="567" w:hanging="567"/>
    </w:pPr>
    <w:rPr>
      <w:szCs w:val="22"/>
    </w:rPr>
  </w:style>
  <w:style w:type="paragraph" w:customStyle="1" w:styleId="E-JOURNALHeading3">
    <w:name w:val="E-JOURNAL_Heading 3"/>
    <w:basedOn w:val="E-JOURNALHeading2"/>
    <w:qFormat/>
    <w:rPr>
      <w:b w:val="0"/>
    </w:rPr>
  </w:style>
  <w:style w:type="paragraph" w:customStyle="1" w:styleId="E-JOURNALPicture">
    <w:name w:val="E-JOURNAL_Picture"/>
    <w:basedOn w:val="E-JOURNALTable"/>
    <w:qFormat/>
    <w:rPr>
      <w:szCs w:val="22"/>
    </w:rPr>
  </w:style>
  <w:style w:type="paragraph" w:customStyle="1" w:styleId="StyleE-JOURNALAbstrakKeywordsBold">
    <w:name w:val="Style E-JOURNAL_AbstrakKeywords + Bold"/>
    <w:basedOn w:val="E-JOURNALAbstrakKeywords"/>
    <w:pPr>
      <w:spacing w:before="120" w:after="120"/>
    </w:pPr>
    <w:rPr>
      <w:b/>
      <w:bCs/>
      <w:iCs/>
    </w:rPr>
  </w:style>
  <w:style w:type="character" w:customStyle="1" w:styleId="apple-converted-space">
    <w:name w:val="apple-converted-space"/>
  </w:style>
  <w:style w:type="character" w:customStyle="1" w:styleId="Heading4Char">
    <w:name w:val="Heading 4 Char"/>
    <w:link w:val="Heading4"/>
    <w:uiPriority w:val="9"/>
    <w:qFormat/>
    <w:rPr>
      <w:rFonts w:ascii="Cambria" w:hAnsi="Cambria"/>
      <w:b/>
      <w:bCs/>
      <w:i/>
      <w:iCs/>
      <w:color w:val="4F81BD"/>
      <w:sz w:val="24"/>
      <w:szCs w:val="24"/>
      <w:lang w:val="en-US" w:eastAsia="en-US"/>
    </w:rPr>
  </w:style>
  <w:style w:type="character" w:customStyle="1" w:styleId="BalloonTextChar">
    <w:name w:val="Balloon Text Char"/>
    <w:link w:val="BalloonText"/>
    <w:qFormat/>
    <w:rPr>
      <w:rFonts w:ascii="Tahoma" w:hAnsi="Tahoma" w:cs="Tahoma"/>
      <w:sz w:val="16"/>
      <w:szCs w:val="16"/>
      <w:lang w:val="en-US" w:eastAsia="en-US"/>
    </w:rPr>
  </w:style>
  <w:style w:type="character" w:customStyle="1" w:styleId="Heading2Char">
    <w:name w:val="Heading 2 Char"/>
    <w:link w:val="Heading2"/>
    <w:uiPriority w:val="9"/>
    <w:rPr>
      <w:rFonts w:ascii="Cambria" w:eastAsia="Times New Roman" w:hAnsi="Cambria" w:cs="Times New Roman"/>
      <w:b/>
      <w:bCs/>
      <w:color w:val="4F81BD"/>
      <w:sz w:val="26"/>
      <w:szCs w:val="26"/>
      <w:lang w:val="en-US" w:eastAsia="en-US"/>
    </w:rPr>
  </w:style>
  <w:style w:type="paragraph" w:customStyle="1" w:styleId="Default">
    <w:name w:val="Default"/>
    <w:link w:val="DefaultChar"/>
    <w:pPr>
      <w:autoSpaceDE w:val="0"/>
      <w:autoSpaceDN w:val="0"/>
      <w:adjustRightInd w:val="0"/>
    </w:pPr>
    <w:rPr>
      <w:rFonts w:ascii="Calisto MT" w:eastAsia="Calibri" w:hAnsi="Calisto MT" w:cs="Calisto MT"/>
      <w:color w:val="000000"/>
      <w:sz w:val="24"/>
      <w:szCs w:val="24"/>
      <w:lang w:val="id-ID"/>
    </w:rPr>
  </w:style>
  <w:style w:type="character" w:customStyle="1" w:styleId="Heading1Char">
    <w:name w:val="Heading 1 Char"/>
    <w:link w:val="Heading1"/>
    <w:uiPriority w:val="9"/>
    <w:rPr>
      <w:rFonts w:eastAsia="Times New Roman" w:cs="Times New Roman"/>
      <w:b/>
      <w:bCs/>
      <w:sz w:val="24"/>
      <w:szCs w:val="28"/>
    </w:rPr>
  </w:style>
  <w:style w:type="character" w:styleId="PlaceholderText">
    <w:name w:val="Placeholder Text"/>
    <w:uiPriority w:val="99"/>
    <w:semiHidden/>
    <w:qFormat/>
    <w:rPr>
      <w:color w:val="808080"/>
    </w:rPr>
  </w:style>
  <w:style w:type="character" w:customStyle="1" w:styleId="UnresolvedMention1">
    <w:name w:val="Unresolved Mention1"/>
    <w:uiPriority w:val="99"/>
    <w:semiHidden/>
    <w:unhideWhenUsed/>
    <w:rPr>
      <w:color w:val="808080"/>
      <w:shd w:val="clear" w:color="auto" w:fill="E6E6E6"/>
    </w:rPr>
  </w:style>
  <w:style w:type="paragraph" w:customStyle="1" w:styleId="sejarahartikel">
    <w:name w:val="sejarah artikel"/>
    <w:link w:val="sejarahartikelChar"/>
    <w:qFormat/>
    <w:rPr>
      <w:rFonts w:ascii="Centaur" w:hAnsi="Centaur"/>
      <w:bCs/>
      <w:kern w:val="32"/>
      <w:sz w:val="18"/>
      <w:szCs w:val="32"/>
      <w:lang w:val="id-ID" w:eastAsia="id-ID"/>
    </w:rPr>
  </w:style>
  <w:style w:type="character" w:customStyle="1" w:styleId="sejarahartikelChar">
    <w:name w:val="sejarah artikel Char"/>
    <w:link w:val="sejarahartikel"/>
    <w:rPr>
      <w:rFonts w:ascii="Centaur" w:hAnsi="Centaur"/>
      <w:bCs/>
      <w:kern w:val="32"/>
      <w:sz w:val="18"/>
      <w:szCs w:val="32"/>
      <w:lang w:val="id-ID" w:eastAsia="id-ID"/>
    </w:rPr>
  </w:style>
  <w:style w:type="paragraph" w:styleId="ListParagraph">
    <w:name w:val="List Paragraph"/>
    <w:basedOn w:val="Normal"/>
    <w:link w:val="ListParagraphChar"/>
    <w:uiPriority w:val="34"/>
    <w:qFormat/>
    <w:pPr>
      <w:spacing w:after="200" w:line="276" w:lineRule="auto"/>
      <w:ind w:left="720"/>
      <w:contextualSpacing/>
    </w:pPr>
    <w:rPr>
      <w:rFonts w:ascii="Calibri" w:eastAsia="MS Mincho" w:hAnsi="Calibri" w:cs="Arial"/>
      <w:sz w:val="22"/>
      <w:szCs w:val="22"/>
      <w:lang w:eastAsia="ja-JP"/>
    </w:rPr>
  </w:style>
  <w:style w:type="character" w:customStyle="1" w:styleId="ListParagraphChar">
    <w:name w:val="List Paragraph Char"/>
    <w:link w:val="ListParagraph"/>
    <w:uiPriority w:val="34"/>
    <w:qFormat/>
    <w:locked/>
    <w:rPr>
      <w:rFonts w:ascii="Calibri" w:eastAsia="MS Mincho" w:hAnsi="Calibri" w:cs="Arial"/>
      <w:sz w:val="22"/>
      <w:szCs w:val="22"/>
      <w:lang w:eastAsia="ja-JP"/>
    </w:rPr>
  </w:style>
  <w:style w:type="paragraph" w:customStyle="1" w:styleId="ww">
    <w:name w:val="ww"/>
    <w:basedOn w:val="Normal"/>
    <w:pPr>
      <w:ind w:left="491" w:right="72" w:hanging="491"/>
    </w:pPr>
    <w:rPr>
      <w:rFonts w:ascii="Arial Narrow" w:eastAsia="MS Mincho" w:hAnsi="Arial Narrow"/>
      <w:sz w:val="22"/>
      <w:szCs w:val="22"/>
      <w:lang w:val="id-ID" w:eastAsia="ja-JP"/>
    </w:rPr>
  </w:style>
  <w:style w:type="character" w:customStyle="1" w:styleId="CommentTextChar">
    <w:name w:val="Comment Text Char"/>
    <w:basedOn w:val="DefaultParagraphFont"/>
    <w:link w:val="CommentText"/>
    <w:uiPriority w:val="99"/>
    <w:qFormat/>
  </w:style>
  <w:style w:type="character" w:customStyle="1" w:styleId="DefaultChar">
    <w:name w:val="Default Char"/>
    <w:link w:val="Default"/>
    <w:qFormat/>
    <w:rPr>
      <w:rFonts w:ascii="Calisto MT" w:eastAsia="Calibri" w:hAnsi="Calisto MT" w:cs="Calisto MT"/>
      <w:color w:val="000000"/>
      <w:sz w:val="24"/>
      <w:szCs w:val="24"/>
      <w:lang w:val="id-ID"/>
    </w:rPr>
  </w:style>
  <w:style w:type="character" w:customStyle="1" w:styleId="CommentSubjectChar">
    <w:name w:val="Comment Subject Char"/>
    <w:basedOn w:val="CommentTextChar"/>
    <w:link w:val="CommentSubject"/>
    <w:rPr>
      <w:b/>
      <w:bCs/>
    </w:rPr>
  </w:style>
  <w:style w:type="paragraph" w:customStyle="1" w:styleId="Bibliography1">
    <w:name w:val="Bibliography1"/>
    <w:basedOn w:val="Normal"/>
    <w:next w:val="Normal"/>
    <w:uiPriority w:val="37"/>
    <w:unhideWhenUsed/>
    <w:pPr>
      <w:spacing w:after="200" w:line="276" w:lineRule="auto"/>
    </w:pPr>
    <w:rPr>
      <w:rFonts w:ascii="Calibri" w:hAnsi="Calibri"/>
      <w:sz w:val="22"/>
      <w:szCs w:val="22"/>
      <w:lang w:val="id-ID"/>
    </w:rPr>
  </w:style>
  <w:style w:type="character" w:customStyle="1" w:styleId="UnresolvedMention2">
    <w:name w:val="Unresolved Mention2"/>
    <w:basedOn w:val="DefaultParagraphFont"/>
    <w:uiPriority w:val="99"/>
    <w:semiHidden/>
    <w:unhideWhenUsed/>
    <w:rPr>
      <w:color w:val="808080"/>
      <w:shd w:val="clear" w:color="auto" w:fill="E6E6E6"/>
    </w:rPr>
  </w:style>
  <w:style w:type="character" w:customStyle="1" w:styleId="BodyTextChar">
    <w:name w:val="Body Text Char"/>
    <w:basedOn w:val="DefaultParagraphFont"/>
    <w:link w:val="BodyText"/>
    <w:uiPriority w:val="1"/>
    <w:semiHidden/>
    <w:rPr>
      <w:sz w:val="24"/>
      <w:szCs w:val="24"/>
    </w:rPr>
  </w:style>
  <w:style w:type="table" w:customStyle="1" w:styleId="Style74">
    <w:name w:val="_Style 74"/>
    <w:basedOn w:val="TableNormal1"/>
    <w:tblPr>
      <w:tblCellMar>
        <w:top w:w="0" w:type="dxa"/>
        <w:left w:w="115" w:type="dxa"/>
        <w:bottom w:w="0" w:type="dxa"/>
        <w:right w:w="115" w:type="dxa"/>
      </w:tblCellMar>
    </w:tblPr>
  </w:style>
  <w:style w:type="table" w:customStyle="1" w:styleId="Style75">
    <w:name w:val="_Style 75"/>
    <w:basedOn w:val="TableNormal1"/>
    <w:tblPr>
      <w:tblCellMar>
        <w:top w:w="0" w:type="dxa"/>
        <w:left w:w="115" w:type="dxa"/>
        <w:bottom w:w="0" w:type="dxa"/>
        <w:right w:w="115" w:type="dxa"/>
      </w:tblCellMar>
    </w:tblPr>
  </w:style>
  <w:style w:type="table" w:customStyle="1" w:styleId="Style76">
    <w:name w:val="_Style 76"/>
    <w:basedOn w:val="TableNormal1"/>
    <w:tblPr>
      <w:tblCellMar>
        <w:top w:w="0" w:type="dxa"/>
        <w:left w:w="115" w:type="dxa"/>
        <w:bottom w:w="0" w:type="dxa"/>
        <w:right w:w="115" w:type="dxa"/>
      </w:tblCellMar>
    </w:tblPr>
  </w:style>
  <w:style w:type="table" w:customStyle="1" w:styleId="Style77">
    <w:name w:val="_Style 77"/>
    <w:basedOn w:val="TableNormal1"/>
    <w:tblPr>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bacosarluf12@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mt0308@uinambon.ac.id" TargetMode="External"/><Relationship Id="rId4" Type="http://schemas.openxmlformats.org/officeDocument/2006/relationships/settings" Target="settings.xml"/><Relationship Id="rId9" Type="http://schemas.openxmlformats.org/officeDocument/2006/relationships/hyperlink" Target="mailto:irhamfitrah23@iainambon.ac.id"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mailto:dialektika@iainambon.ac.id" TargetMode="External"/><Relationship Id="rId2" Type="http://schemas.openxmlformats.org/officeDocument/2006/relationships/hyperlink" Target="https://jurnal.iainambon.ac.id/index.php/DT/index"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3+4Z8SGCpvi262jFeY/wjWZkg==">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74A42D-AD51-4766-999D-8B29F9EDB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7854</Words>
  <Characters>44768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ken budi</cp:lastModifiedBy>
  <cp:revision>2</cp:revision>
  <dcterms:created xsi:type="dcterms:W3CDTF">2021-02-09T06:22:00Z</dcterms:created>
  <dcterms:modified xsi:type="dcterms:W3CDTF">2026-11-08T01:42:00Z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6e858690-a35a-33dd-b58c-09b0836b9015</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KSOTemplateDocerSaveRecord">
    <vt:lpwstr>eyJoZGlkIjoiYTQ5NTk2MzMzOWQxNzUwYzkwNjMyY2E2MWZlNmEyNjciLCJ1c2VySWQiOiI5Nzk2MDY1ODQ3MjIifQ==</vt:lpwstr>
  </property>
  <property fmtid="{D5CDD505-2E9C-101B-9397-08002B2CF9AE}" pid="26" name="KSOProductBuildVer">
    <vt:lpwstr>1033-12.1.0.29162</vt:lpwstr>
  </property>
  <property fmtid="{D5CDD505-2E9C-101B-9397-08002B2CF9AE}" pid="27" name="ICV">
    <vt:lpwstr>D8E74768FA614652B691E43B8E8F4207_12</vt:lpwstr>
  </property>
</Properties>
</file>